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57A43" w14:textId="7D7485D1" w:rsidR="00215926" w:rsidRPr="00DD71EA" w:rsidRDefault="00DD71EA" w:rsidP="00FE6ED7">
      <w:pPr>
        <w:jc w:val="center"/>
        <w:rPr>
          <w:rFonts w:ascii="Helvetica" w:hAnsi="Helvetica"/>
          <w:b/>
          <w:sz w:val="24"/>
          <w:szCs w:val="24"/>
          <w:u w:val="single"/>
        </w:rPr>
      </w:pPr>
      <w:bookmarkStart w:id="0" w:name="_GoBack"/>
      <w:bookmarkEnd w:id="0"/>
      <w:r w:rsidRPr="00DD71EA">
        <w:rPr>
          <w:rFonts w:ascii="Helvetica" w:hAnsi="Helvetica"/>
          <w:b/>
          <w:sz w:val="24"/>
          <w:szCs w:val="24"/>
          <w:u w:val="single"/>
        </w:rPr>
        <w:t>Background to Cammaert Report</w:t>
      </w:r>
    </w:p>
    <w:p w14:paraId="69CA61B7" w14:textId="65CF5534" w:rsidR="00292FA2" w:rsidRPr="00DD71EA" w:rsidRDefault="00292FA2" w:rsidP="009146B3">
      <w:pPr>
        <w:jc w:val="both"/>
        <w:rPr>
          <w:rFonts w:ascii="Helvetica" w:hAnsi="Helvetica"/>
          <w:b/>
          <w:sz w:val="24"/>
          <w:szCs w:val="24"/>
        </w:rPr>
      </w:pPr>
      <w:r w:rsidRPr="00DD71EA">
        <w:rPr>
          <w:rFonts w:ascii="Helvetica" w:hAnsi="Helvetica"/>
          <w:b/>
          <w:sz w:val="24"/>
          <w:szCs w:val="24"/>
        </w:rPr>
        <w:t>South Sudan – Juba, July 2016</w:t>
      </w:r>
    </w:p>
    <w:p w14:paraId="13205FFE" w14:textId="2278AD94" w:rsidR="00E565A4" w:rsidRPr="00DD71EA" w:rsidRDefault="009146B3" w:rsidP="009146B3">
      <w:pPr>
        <w:jc w:val="both"/>
        <w:rPr>
          <w:rFonts w:ascii="Helvetica Light" w:hAnsi="Helvetica Light"/>
          <w:sz w:val="24"/>
          <w:szCs w:val="24"/>
        </w:rPr>
      </w:pPr>
      <w:r w:rsidRPr="00DD71EA">
        <w:rPr>
          <w:rFonts w:ascii="Helvetica Light" w:hAnsi="Helvetica Light"/>
          <w:sz w:val="24"/>
          <w:szCs w:val="24"/>
        </w:rPr>
        <w:t xml:space="preserve">In December 2013 conflict erupted between soldiers from rival factions within the Sudan Peoples’ Liberation Army (SPLA) and the country soon descended into civil war. </w:t>
      </w:r>
      <w:r w:rsidR="00451179" w:rsidRPr="00DD71EA">
        <w:rPr>
          <w:rFonts w:ascii="Helvetica Light" w:hAnsi="Helvetica Light"/>
          <w:sz w:val="24"/>
          <w:szCs w:val="24"/>
        </w:rPr>
        <w:t>The SPLA split into two groups, the SPLA, led</w:t>
      </w:r>
      <w:r w:rsidR="00215926" w:rsidRPr="00DD71EA">
        <w:rPr>
          <w:rFonts w:ascii="Helvetica Light" w:hAnsi="Helvetica Light"/>
          <w:sz w:val="24"/>
          <w:szCs w:val="24"/>
        </w:rPr>
        <w:t xml:space="preserve"> by President Kiir and the SPLA-In-</w:t>
      </w:r>
      <w:r w:rsidR="00451179" w:rsidRPr="00DD71EA">
        <w:rPr>
          <w:rFonts w:ascii="Helvetica Light" w:hAnsi="Helvetica Light"/>
          <w:sz w:val="24"/>
          <w:szCs w:val="24"/>
        </w:rPr>
        <w:t xml:space="preserve">Opposition (SPLA-IO) led by Riek Machar. </w:t>
      </w:r>
      <w:r w:rsidRPr="00DD71EA">
        <w:rPr>
          <w:rFonts w:ascii="Helvetica Light" w:hAnsi="Helvetica Light"/>
          <w:sz w:val="24"/>
          <w:szCs w:val="24"/>
        </w:rPr>
        <w:t>Over the</w:t>
      </w:r>
      <w:r w:rsidR="00E565A4" w:rsidRPr="00DD71EA">
        <w:rPr>
          <w:rFonts w:ascii="Helvetica Light" w:hAnsi="Helvetica Light"/>
          <w:sz w:val="24"/>
          <w:szCs w:val="24"/>
        </w:rPr>
        <w:t xml:space="preserve"> following 18 months</w:t>
      </w:r>
      <w:r w:rsidRPr="00DD71EA">
        <w:rPr>
          <w:rFonts w:ascii="Helvetica Light" w:hAnsi="Helvetica Light"/>
          <w:sz w:val="24"/>
          <w:szCs w:val="24"/>
        </w:rPr>
        <w:t xml:space="preserve">, </w:t>
      </w:r>
      <w:r w:rsidR="00F467EB" w:rsidRPr="00DD71EA">
        <w:rPr>
          <w:rFonts w:ascii="Helvetica Light" w:hAnsi="Helvetica Light"/>
          <w:sz w:val="24"/>
          <w:szCs w:val="24"/>
        </w:rPr>
        <w:t xml:space="preserve">severe armed clashes continued to take place </w:t>
      </w:r>
      <w:r w:rsidRPr="00DD71EA">
        <w:rPr>
          <w:rFonts w:ascii="Helvetica Light" w:hAnsi="Helvetica Light"/>
          <w:sz w:val="24"/>
          <w:szCs w:val="24"/>
        </w:rPr>
        <w:t xml:space="preserve">between ethnic Dinka and Nuer soldiers loyal to President Kiir and Machar, respectively. </w:t>
      </w:r>
    </w:p>
    <w:p w14:paraId="5C0F4C4B" w14:textId="3F53C0D1" w:rsidR="009146B3" w:rsidRPr="00DD71EA" w:rsidRDefault="00E565A4" w:rsidP="009146B3">
      <w:pPr>
        <w:jc w:val="both"/>
        <w:rPr>
          <w:rFonts w:ascii="Helvetica Light" w:hAnsi="Helvetica Light"/>
          <w:sz w:val="24"/>
          <w:szCs w:val="24"/>
        </w:rPr>
      </w:pPr>
      <w:r w:rsidRPr="00DD71EA">
        <w:rPr>
          <w:rFonts w:ascii="Helvetica Light" w:hAnsi="Helvetica Light"/>
          <w:sz w:val="24"/>
          <w:szCs w:val="24"/>
        </w:rPr>
        <w:t>I</w:t>
      </w:r>
      <w:r w:rsidR="009146B3" w:rsidRPr="00DD71EA">
        <w:rPr>
          <w:rFonts w:ascii="Helvetica Light" w:hAnsi="Helvetica Light"/>
          <w:sz w:val="24"/>
          <w:szCs w:val="24"/>
        </w:rPr>
        <w:t>n August 2015, Kiir and</w:t>
      </w:r>
      <w:r w:rsidRPr="00DD71EA">
        <w:rPr>
          <w:rFonts w:ascii="Helvetica Light" w:hAnsi="Helvetica Light"/>
          <w:sz w:val="24"/>
          <w:szCs w:val="24"/>
        </w:rPr>
        <w:t xml:space="preserve"> </w:t>
      </w:r>
      <w:r w:rsidR="009146B3" w:rsidRPr="00DD71EA">
        <w:rPr>
          <w:rFonts w:ascii="Helvetica Light" w:hAnsi="Helvetica Light"/>
          <w:sz w:val="24"/>
          <w:szCs w:val="24"/>
        </w:rPr>
        <w:t>Machar agreed to end the country's civil war by signing the "Agreement on the Resolution of the Conflict in the Republic of South Sudan." The power-sharing agreement called for a permanent ceasefire, as well as the establishment of an independent Hybrid Court for South Sudan (HCSS) to investigate mass atrocities committed during the conflict.</w:t>
      </w:r>
      <w:r w:rsidR="009146B3" w:rsidRPr="00DD71EA">
        <w:rPr>
          <w:rStyle w:val="FootnoteReference"/>
          <w:rFonts w:ascii="Helvetica Light" w:hAnsi="Helvetica Light"/>
          <w:sz w:val="24"/>
          <w:szCs w:val="24"/>
        </w:rPr>
        <w:footnoteReference w:id="1"/>
      </w:r>
      <w:r w:rsidR="009146B3" w:rsidRPr="00DD71EA">
        <w:rPr>
          <w:rFonts w:ascii="Helvetica Light" w:hAnsi="Helvetica Light"/>
          <w:sz w:val="24"/>
          <w:szCs w:val="24"/>
        </w:rPr>
        <w:t xml:space="preserve"> </w:t>
      </w:r>
    </w:p>
    <w:p w14:paraId="4EEC7D27" w14:textId="77777777" w:rsidR="00493654" w:rsidRPr="00DD71EA" w:rsidRDefault="00E565A4" w:rsidP="009146B3">
      <w:pPr>
        <w:jc w:val="both"/>
        <w:rPr>
          <w:rFonts w:ascii="Helvetica Light" w:hAnsi="Helvetica Light"/>
          <w:sz w:val="24"/>
          <w:szCs w:val="24"/>
        </w:rPr>
      </w:pPr>
      <w:r w:rsidRPr="00DD71EA">
        <w:rPr>
          <w:rFonts w:ascii="Helvetica Light" w:hAnsi="Helvetica Light"/>
          <w:sz w:val="24"/>
          <w:szCs w:val="24"/>
        </w:rPr>
        <w:t xml:space="preserve">In the beginning of </w:t>
      </w:r>
      <w:r w:rsidR="00260475" w:rsidRPr="00DD71EA">
        <w:rPr>
          <w:rFonts w:ascii="Helvetica Light" w:hAnsi="Helvetica Light"/>
          <w:sz w:val="24"/>
          <w:szCs w:val="24"/>
        </w:rPr>
        <w:t>2016,</w:t>
      </w:r>
      <w:r w:rsidRPr="00DD71EA">
        <w:rPr>
          <w:rFonts w:ascii="Helvetica Light" w:hAnsi="Helvetica Light"/>
          <w:sz w:val="24"/>
          <w:szCs w:val="24"/>
        </w:rPr>
        <w:t xml:space="preserve"> the parties made some progress </w:t>
      </w:r>
      <w:r w:rsidR="009146B3" w:rsidRPr="00DD71EA">
        <w:rPr>
          <w:rFonts w:ascii="Helvetica Light" w:hAnsi="Helvetica Light"/>
          <w:sz w:val="24"/>
          <w:szCs w:val="24"/>
        </w:rPr>
        <w:t>tow</w:t>
      </w:r>
      <w:r w:rsidRPr="00DD71EA">
        <w:rPr>
          <w:rFonts w:ascii="Helvetica Light" w:hAnsi="Helvetica Light"/>
          <w:sz w:val="24"/>
          <w:szCs w:val="24"/>
        </w:rPr>
        <w:t>ards implementing the agreement</w:t>
      </w:r>
      <w:r w:rsidR="00260475" w:rsidRPr="00DD71EA">
        <w:rPr>
          <w:rFonts w:ascii="Helvetica Light" w:hAnsi="Helvetica Light"/>
          <w:sz w:val="24"/>
          <w:szCs w:val="24"/>
        </w:rPr>
        <w:t xml:space="preserve">. </w:t>
      </w:r>
      <w:r w:rsidR="009146B3" w:rsidRPr="00DD71EA">
        <w:rPr>
          <w:rFonts w:ascii="Helvetica Light" w:hAnsi="Helvetica Light"/>
          <w:sz w:val="24"/>
          <w:szCs w:val="24"/>
        </w:rPr>
        <w:t xml:space="preserve">Machar returned to Juba on 26 April to be sworn in as First Vice President, and the Transitional Government was formed </w:t>
      </w:r>
      <w:r w:rsidR="00260475" w:rsidRPr="00DD71EA">
        <w:rPr>
          <w:rFonts w:ascii="Helvetica Light" w:hAnsi="Helvetica Light"/>
          <w:sz w:val="24"/>
          <w:szCs w:val="24"/>
        </w:rPr>
        <w:t xml:space="preserve">on 29 April. </w:t>
      </w:r>
    </w:p>
    <w:p w14:paraId="375CB1C0" w14:textId="77777777" w:rsidR="00215926" w:rsidRPr="00DD71EA" w:rsidRDefault="00493654" w:rsidP="009146B3">
      <w:pPr>
        <w:jc w:val="both"/>
        <w:rPr>
          <w:rFonts w:ascii="Helvetica Light" w:hAnsi="Helvetica Light"/>
          <w:sz w:val="24"/>
          <w:szCs w:val="24"/>
        </w:rPr>
      </w:pPr>
      <w:r w:rsidRPr="00DD71EA">
        <w:rPr>
          <w:rFonts w:ascii="Helvetica Light" w:hAnsi="Helvetica Light"/>
          <w:sz w:val="24"/>
          <w:szCs w:val="24"/>
        </w:rPr>
        <w:t xml:space="preserve">The </w:t>
      </w:r>
      <w:r w:rsidR="00215926" w:rsidRPr="00DD71EA">
        <w:rPr>
          <w:rFonts w:ascii="Helvetica Light" w:hAnsi="Helvetica Light"/>
          <w:sz w:val="24"/>
          <w:szCs w:val="24"/>
        </w:rPr>
        <w:t xml:space="preserve">headquarters for the </w:t>
      </w:r>
      <w:r w:rsidRPr="00DD71EA">
        <w:rPr>
          <w:rFonts w:ascii="Helvetica Light" w:hAnsi="Helvetica Light"/>
          <w:sz w:val="24"/>
          <w:szCs w:val="24"/>
        </w:rPr>
        <w:t>UN Mission in South Sudan</w:t>
      </w:r>
      <w:r w:rsidR="00215926" w:rsidRPr="00DD71EA">
        <w:rPr>
          <w:rFonts w:ascii="Helvetica Light" w:hAnsi="Helvetica Light"/>
          <w:sz w:val="24"/>
          <w:szCs w:val="24"/>
        </w:rPr>
        <w:t xml:space="preserve"> (UNMISS)</w:t>
      </w:r>
      <w:r w:rsidRPr="00DD71EA">
        <w:rPr>
          <w:rFonts w:ascii="Helvetica Light" w:hAnsi="Helvetica Light"/>
          <w:sz w:val="24"/>
          <w:szCs w:val="24"/>
        </w:rPr>
        <w:t xml:space="preserve"> </w:t>
      </w:r>
      <w:r w:rsidR="00215926" w:rsidRPr="00DD71EA">
        <w:rPr>
          <w:rFonts w:ascii="Helvetica Light" w:hAnsi="Helvetica Light"/>
          <w:sz w:val="24"/>
          <w:szCs w:val="24"/>
        </w:rPr>
        <w:t>is located in the capital, Juba. Two Protection of Civilians (POC)</w:t>
      </w:r>
      <w:r w:rsidRPr="00DD71EA">
        <w:rPr>
          <w:rFonts w:ascii="Helvetica Light" w:hAnsi="Helvetica Light"/>
          <w:sz w:val="24"/>
          <w:szCs w:val="24"/>
        </w:rPr>
        <w:t xml:space="preserve"> sites were located adjacent to the headquarters and housed more than 27,000 </w:t>
      </w:r>
      <w:r w:rsidR="00215926" w:rsidRPr="00DD71EA">
        <w:rPr>
          <w:rFonts w:ascii="Helvetica Light" w:hAnsi="Helvetica Light"/>
          <w:sz w:val="24"/>
          <w:szCs w:val="24"/>
        </w:rPr>
        <w:t>people who had been internally displaced during the civil war</w:t>
      </w:r>
      <w:r w:rsidRPr="00DD71EA">
        <w:rPr>
          <w:rFonts w:ascii="Helvetica Light" w:hAnsi="Helvetica Light"/>
          <w:sz w:val="24"/>
          <w:szCs w:val="24"/>
        </w:rPr>
        <w:t>.</w:t>
      </w:r>
      <w:r w:rsidRPr="00DD71EA">
        <w:rPr>
          <w:rStyle w:val="FootnoteReference"/>
          <w:rFonts w:ascii="Helvetica Light" w:hAnsi="Helvetica Light"/>
          <w:sz w:val="24"/>
          <w:szCs w:val="24"/>
        </w:rPr>
        <w:footnoteReference w:id="2"/>
      </w:r>
      <w:r w:rsidRPr="00DD71EA">
        <w:rPr>
          <w:rFonts w:ascii="Helvetica Light" w:hAnsi="Helvetica Light"/>
          <w:sz w:val="24"/>
          <w:szCs w:val="24"/>
        </w:rPr>
        <w:t xml:space="preserve"> </w:t>
      </w:r>
    </w:p>
    <w:p w14:paraId="75196C0B" w14:textId="0AA7C45C" w:rsidR="005542D7" w:rsidRPr="00DD71EA" w:rsidRDefault="00260475" w:rsidP="009146B3">
      <w:pPr>
        <w:jc w:val="both"/>
        <w:rPr>
          <w:rFonts w:ascii="Helvetica Light" w:hAnsi="Helvetica Light"/>
          <w:sz w:val="24"/>
          <w:szCs w:val="24"/>
        </w:rPr>
      </w:pPr>
      <w:r w:rsidRPr="00DD71EA">
        <w:rPr>
          <w:rFonts w:ascii="Helvetica Light" w:hAnsi="Helvetica Light"/>
          <w:sz w:val="24"/>
          <w:szCs w:val="24"/>
        </w:rPr>
        <w:t>When he returned</w:t>
      </w:r>
      <w:r w:rsidR="00215926" w:rsidRPr="00DD71EA">
        <w:rPr>
          <w:rFonts w:ascii="Helvetica Light" w:hAnsi="Helvetica Light"/>
          <w:sz w:val="24"/>
          <w:szCs w:val="24"/>
        </w:rPr>
        <w:t xml:space="preserve"> to Juba</w:t>
      </w:r>
      <w:r w:rsidRPr="00DD71EA">
        <w:rPr>
          <w:rFonts w:ascii="Helvetica Light" w:hAnsi="Helvetica Light"/>
          <w:sz w:val="24"/>
          <w:szCs w:val="24"/>
        </w:rPr>
        <w:t xml:space="preserve">, Machar brought more than 1,200 armed fighters who, despite security risks and strong objections of the Special representative of the Secretary General, international security advisors and generals in the Government </w:t>
      </w:r>
      <w:r w:rsidRPr="00DD71EA">
        <w:rPr>
          <w:rFonts w:ascii="Helvetica Light" w:hAnsi="Helvetica Light"/>
          <w:sz w:val="24"/>
          <w:szCs w:val="24"/>
        </w:rPr>
        <w:lastRenderedPageBreak/>
        <w:t xml:space="preserve">army, were placed less than a kilometer from UN House and the </w:t>
      </w:r>
      <w:r w:rsidR="009E3AC4" w:rsidRPr="00DD71EA">
        <w:rPr>
          <w:rFonts w:ascii="Helvetica Light" w:hAnsi="Helvetica Light"/>
          <w:sz w:val="24"/>
          <w:szCs w:val="24"/>
        </w:rPr>
        <w:t>POC sites.</w:t>
      </w:r>
      <w:r w:rsidR="009E3AC4" w:rsidRPr="00DD71EA">
        <w:rPr>
          <w:rStyle w:val="FootnoteReference"/>
          <w:rFonts w:ascii="Helvetica Light" w:hAnsi="Helvetica Light"/>
          <w:sz w:val="24"/>
          <w:szCs w:val="24"/>
        </w:rPr>
        <w:footnoteReference w:id="3"/>
      </w:r>
      <w:r w:rsidR="009E3AC4" w:rsidRPr="00DD71EA">
        <w:rPr>
          <w:rFonts w:ascii="Helvetica Light" w:hAnsi="Helvetica Light"/>
          <w:sz w:val="24"/>
          <w:szCs w:val="24"/>
        </w:rPr>
        <w:t xml:space="preserve"> </w:t>
      </w:r>
      <w:r w:rsidR="005542D7" w:rsidRPr="00DD71EA">
        <w:rPr>
          <w:rFonts w:ascii="Helvetica Light" w:hAnsi="Helvetica Light"/>
          <w:sz w:val="24"/>
          <w:szCs w:val="24"/>
        </w:rPr>
        <w:t>The SPLA also had significant troops i</w:t>
      </w:r>
      <w:r w:rsidR="00A9051E" w:rsidRPr="00DD71EA">
        <w:rPr>
          <w:rFonts w:ascii="Helvetica Light" w:hAnsi="Helvetica Light"/>
          <w:sz w:val="24"/>
          <w:szCs w:val="24"/>
        </w:rPr>
        <w:t>n Juba, including ground forces reinforced by armored units and 24 attack helicopters.</w:t>
      </w:r>
      <w:r w:rsidR="00A9051E" w:rsidRPr="00DD71EA">
        <w:rPr>
          <w:rStyle w:val="FootnoteReference"/>
          <w:rFonts w:ascii="Helvetica Light" w:hAnsi="Helvetica Light"/>
          <w:sz w:val="24"/>
          <w:szCs w:val="24"/>
        </w:rPr>
        <w:footnoteReference w:id="4"/>
      </w:r>
    </w:p>
    <w:p w14:paraId="20A44CFF" w14:textId="15246EA9" w:rsidR="00A9051E" w:rsidRPr="00DD71EA" w:rsidRDefault="00451179" w:rsidP="009146B3">
      <w:pPr>
        <w:jc w:val="both"/>
        <w:rPr>
          <w:rFonts w:ascii="Helvetica Light" w:hAnsi="Helvetica Light"/>
          <w:sz w:val="24"/>
          <w:szCs w:val="24"/>
        </w:rPr>
      </w:pPr>
      <w:r w:rsidRPr="00DD71EA">
        <w:rPr>
          <w:rFonts w:ascii="Helvetica Light" w:hAnsi="Helvetica Light"/>
          <w:sz w:val="24"/>
          <w:szCs w:val="24"/>
        </w:rPr>
        <w:t xml:space="preserve">Despite steps towards implementing the </w:t>
      </w:r>
      <w:r w:rsidR="008D0339" w:rsidRPr="00DD71EA">
        <w:rPr>
          <w:rFonts w:ascii="Helvetica Light" w:hAnsi="Helvetica Light"/>
          <w:sz w:val="24"/>
          <w:szCs w:val="24"/>
        </w:rPr>
        <w:t xml:space="preserve">2015 peace </w:t>
      </w:r>
      <w:r w:rsidRPr="00DD71EA">
        <w:rPr>
          <w:rFonts w:ascii="Helvetica Light" w:hAnsi="Helvetica Light"/>
          <w:sz w:val="24"/>
          <w:szCs w:val="24"/>
        </w:rPr>
        <w:t>agreement,</w:t>
      </w:r>
      <w:r w:rsidR="009146B3" w:rsidRPr="00DD71EA">
        <w:rPr>
          <w:rFonts w:ascii="Helvetica Light" w:hAnsi="Helvetica Light"/>
          <w:sz w:val="24"/>
          <w:szCs w:val="24"/>
        </w:rPr>
        <w:t xml:space="preserve"> the root causes of the conflict </w:t>
      </w:r>
      <w:proofErr w:type="gramStart"/>
      <w:r w:rsidR="009146B3" w:rsidRPr="00DD71EA">
        <w:rPr>
          <w:rFonts w:ascii="Helvetica Light" w:hAnsi="Helvetica Light"/>
          <w:sz w:val="24"/>
          <w:szCs w:val="24"/>
        </w:rPr>
        <w:t>were not adequately addressed</w:t>
      </w:r>
      <w:proofErr w:type="gramEnd"/>
      <w:r w:rsidR="009146B3" w:rsidRPr="00DD71EA">
        <w:rPr>
          <w:rFonts w:ascii="Helvetica Light" w:hAnsi="Helvetica Light"/>
          <w:sz w:val="24"/>
          <w:szCs w:val="24"/>
        </w:rPr>
        <w:t xml:space="preserve"> and ethnic tensions continued to be exacerbated by officials using hate speech to incite violence</w:t>
      </w:r>
      <w:r w:rsidR="008D0339" w:rsidRPr="00DD71EA">
        <w:rPr>
          <w:rFonts w:ascii="Helvetica Light" w:hAnsi="Helvetica Light"/>
          <w:sz w:val="24"/>
          <w:szCs w:val="24"/>
        </w:rPr>
        <w:t xml:space="preserve"> and routine violations of the ceasefire</w:t>
      </w:r>
      <w:r w:rsidR="009146B3" w:rsidRPr="00DD71EA">
        <w:rPr>
          <w:rFonts w:ascii="Helvetica Light" w:hAnsi="Helvetica Light"/>
          <w:sz w:val="24"/>
          <w:szCs w:val="24"/>
        </w:rPr>
        <w:t>.</w:t>
      </w:r>
      <w:r w:rsidR="009146B3" w:rsidRPr="00DD71EA">
        <w:rPr>
          <w:rStyle w:val="FootnoteReference"/>
          <w:rFonts w:ascii="Helvetica Light" w:hAnsi="Helvetica Light"/>
          <w:sz w:val="24"/>
          <w:szCs w:val="24"/>
        </w:rPr>
        <w:footnoteReference w:id="5"/>
      </w:r>
      <w:r w:rsidR="009146B3" w:rsidRPr="00DD71EA">
        <w:rPr>
          <w:rFonts w:ascii="Helvetica Light" w:hAnsi="Helvetica Light"/>
          <w:sz w:val="24"/>
          <w:szCs w:val="24"/>
        </w:rPr>
        <w:t xml:space="preserve"> </w:t>
      </w:r>
      <w:r w:rsidR="008D0339" w:rsidRPr="00DD71EA">
        <w:rPr>
          <w:rFonts w:ascii="Helvetica Light" w:hAnsi="Helvetica Light"/>
          <w:sz w:val="24"/>
          <w:szCs w:val="24"/>
        </w:rPr>
        <w:t>The UN Security Council, UN Secretary-General, African Union and various international partners warned that President Kiir and Machar were failing to genuinely commit to implementation of the peace agreement.</w:t>
      </w:r>
      <w:r w:rsidR="008D0339" w:rsidRPr="00DD71EA">
        <w:rPr>
          <w:rStyle w:val="FootnoteReference"/>
          <w:rFonts w:ascii="Helvetica Light" w:hAnsi="Helvetica Light"/>
          <w:sz w:val="24"/>
          <w:szCs w:val="24"/>
        </w:rPr>
        <w:footnoteReference w:id="6"/>
      </w:r>
      <w:r w:rsidR="008D0339" w:rsidRPr="00DD71EA">
        <w:rPr>
          <w:rFonts w:ascii="Helvetica Light" w:hAnsi="Helvetica Light"/>
          <w:sz w:val="24"/>
          <w:szCs w:val="24"/>
        </w:rPr>
        <w:t xml:space="preserve"> </w:t>
      </w:r>
      <w:r w:rsidR="00A9051E" w:rsidRPr="00DD71EA">
        <w:rPr>
          <w:rFonts w:ascii="Helvetica Light" w:hAnsi="Helvetica Light"/>
          <w:sz w:val="24"/>
          <w:szCs w:val="24"/>
        </w:rPr>
        <w:t xml:space="preserve">Rising perceptions among Dinka political and military elites, including President Kiir, that their people were being unfairly targeted and </w:t>
      </w:r>
      <w:r w:rsidR="008D0339" w:rsidRPr="00DD71EA">
        <w:rPr>
          <w:rFonts w:ascii="Helvetica Light" w:hAnsi="Helvetica Light"/>
          <w:sz w:val="24"/>
          <w:szCs w:val="24"/>
        </w:rPr>
        <w:t>threatened</w:t>
      </w:r>
      <w:r w:rsidR="00A9051E" w:rsidRPr="00DD71EA">
        <w:rPr>
          <w:rFonts w:ascii="Helvetica Light" w:hAnsi="Helvetica Light"/>
          <w:sz w:val="24"/>
          <w:szCs w:val="24"/>
        </w:rPr>
        <w:t xml:space="preserve"> contributed to a cycle of mutual resentment and revenge.</w:t>
      </w:r>
      <w:r w:rsidR="00A9051E" w:rsidRPr="00DD71EA">
        <w:rPr>
          <w:rStyle w:val="FootnoteReference"/>
          <w:rFonts w:ascii="Helvetica Light" w:hAnsi="Helvetica Light"/>
          <w:sz w:val="24"/>
          <w:szCs w:val="24"/>
        </w:rPr>
        <w:footnoteReference w:id="7"/>
      </w:r>
    </w:p>
    <w:p w14:paraId="1EC4AA0D" w14:textId="2A61BDEF" w:rsidR="00A9051E" w:rsidRPr="00DD71EA" w:rsidRDefault="009146B3" w:rsidP="009146B3">
      <w:pPr>
        <w:jc w:val="both"/>
        <w:rPr>
          <w:rFonts w:ascii="Helvetica Light" w:hAnsi="Helvetica Light"/>
          <w:sz w:val="24"/>
          <w:szCs w:val="24"/>
        </w:rPr>
      </w:pPr>
      <w:r w:rsidRPr="00DD71EA">
        <w:rPr>
          <w:rFonts w:ascii="Helvetica Light" w:hAnsi="Helvetica Light"/>
          <w:sz w:val="24"/>
          <w:szCs w:val="24"/>
        </w:rPr>
        <w:t xml:space="preserve">Violence between elements of the SPLA and the SPLA in Opposition (SPLA-IO) reignited in Juba on 7 July, two days before South Sudan observed the fifth anniversary of its independence. Heavy fighting, including tanks and helicopter gunships, was reported in Juba, particularly in the Jebel area near </w:t>
      </w:r>
      <w:r w:rsidR="008D0339" w:rsidRPr="00DD71EA">
        <w:rPr>
          <w:rFonts w:ascii="Helvetica Light" w:hAnsi="Helvetica Light"/>
          <w:sz w:val="24"/>
          <w:szCs w:val="24"/>
        </w:rPr>
        <w:t>the UN’s POC sites</w:t>
      </w:r>
      <w:r w:rsidRPr="00DD71EA">
        <w:rPr>
          <w:rFonts w:ascii="Helvetica Light" w:hAnsi="Helvetica Light"/>
          <w:sz w:val="24"/>
          <w:szCs w:val="24"/>
        </w:rPr>
        <w:t xml:space="preserve">. </w:t>
      </w:r>
      <w:r w:rsidR="009E3AC4" w:rsidRPr="00DD71EA">
        <w:rPr>
          <w:rFonts w:ascii="Helvetica Light" w:hAnsi="Helvetica Light"/>
          <w:sz w:val="24"/>
          <w:szCs w:val="24"/>
        </w:rPr>
        <w:t xml:space="preserve">During the crisis, </w:t>
      </w:r>
      <w:r w:rsidR="008D0339" w:rsidRPr="00DD71EA">
        <w:rPr>
          <w:rFonts w:ascii="Helvetica Light" w:hAnsi="Helvetica Light"/>
          <w:sz w:val="24"/>
          <w:szCs w:val="24"/>
        </w:rPr>
        <w:t>SPLA and SPLA-IO</w:t>
      </w:r>
      <w:r w:rsidR="009E3AC4" w:rsidRPr="00DD71EA">
        <w:rPr>
          <w:rFonts w:ascii="Helvetica Light" w:hAnsi="Helvetica Light"/>
          <w:sz w:val="24"/>
          <w:szCs w:val="24"/>
        </w:rPr>
        <w:t xml:space="preserve"> forces fired indiscriminately, striking UN facilities and POC sites, and attacked civilians.</w:t>
      </w:r>
      <w:r w:rsidR="009E3AC4" w:rsidRPr="00DD71EA">
        <w:rPr>
          <w:rStyle w:val="FootnoteReference"/>
          <w:rFonts w:ascii="Helvetica Light" w:hAnsi="Helvetica Light"/>
          <w:sz w:val="24"/>
          <w:szCs w:val="24"/>
        </w:rPr>
        <w:footnoteReference w:id="8"/>
      </w:r>
      <w:r w:rsidR="009E3AC4" w:rsidRPr="00DD71EA">
        <w:rPr>
          <w:rFonts w:ascii="Helvetica Light" w:hAnsi="Helvetica Light"/>
          <w:sz w:val="24"/>
          <w:szCs w:val="24"/>
        </w:rPr>
        <w:t xml:space="preserve"> </w:t>
      </w:r>
    </w:p>
    <w:p w14:paraId="69893B7A" w14:textId="32B3C8E1" w:rsidR="005542D7" w:rsidRPr="00DD71EA" w:rsidRDefault="005542D7" w:rsidP="009146B3">
      <w:pPr>
        <w:jc w:val="both"/>
        <w:rPr>
          <w:rFonts w:ascii="Helvetica Light" w:hAnsi="Helvetica Light"/>
          <w:sz w:val="24"/>
          <w:szCs w:val="24"/>
        </w:rPr>
      </w:pPr>
      <w:r w:rsidRPr="00DD71EA">
        <w:rPr>
          <w:rFonts w:ascii="Helvetica Light" w:hAnsi="Helvetica Light"/>
          <w:sz w:val="24"/>
          <w:szCs w:val="24"/>
        </w:rPr>
        <w:t>According to the South Sudan Protection Cluster</w:t>
      </w:r>
      <w:r w:rsidR="00F467EB" w:rsidRPr="00DD71EA">
        <w:rPr>
          <w:rFonts w:ascii="Helvetica Light" w:hAnsi="Helvetica Light"/>
          <w:sz w:val="24"/>
          <w:szCs w:val="24"/>
        </w:rPr>
        <w:t xml:space="preserve"> analysis</w:t>
      </w:r>
      <w:r w:rsidRPr="00DD71EA">
        <w:rPr>
          <w:rFonts w:ascii="Helvetica Light" w:hAnsi="Helvetica Light"/>
          <w:sz w:val="24"/>
          <w:szCs w:val="24"/>
        </w:rPr>
        <w:t>, the SPLA deliberately targeted civilians from the Nuer ethnic g</w:t>
      </w:r>
      <w:r w:rsidR="008D0339" w:rsidRPr="00DD71EA">
        <w:rPr>
          <w:rFonts w:ascii="Helvetica Light" w:hAnsi="Helvetica Light"/>
          <w:sz w:val="24"/>
          <w:szCs w:val="24"/>
        </w:rPr>
        <w:t>roup and those perceived as ‘an</w:t>
      </w:r>
      <w:r w:rsidRPr="00DD71EA">
        <w:rPr>
          <w:rFonts w:ascii="Helvetica Light" w:hAnsi="Helvetica Light"/>
          <w:sz w:val="24"/>
          <w:szCs w:val="24"/>
        </w:rPr>
        <w:t>t</w:t>
      </w:r>
      <w:r w:rsidR="008D0339" w:rsidRPr="00DD71EA">
        <w:rPr>
          <w:rFonts w:ascii="Helvetica Light" w:hAnsi="Helvetica Light"/>
          <w:sz w:val="24"/>
          <w:szCs w:val="24"/>
        </w:rPr>
        <w:t>i-government</w:t>
      </w:r>
      <w:r w:rsidRPr="00DD71EA">
        <w:rPr>
          <w:rFonts w:ascii="Helvetica Light" w:hAnsi="Helvetica Light"/>
          <w:sz w:val="24"/>
          <w:szCs w:val="24"/>
        </w:rPr>
        <w:t>,</w:t>
      </w:r>
      <w:r w:rsidR="008D0339" w:rsidRPr="00DD71EA">
        <w:rPr>
          <w:rFonts w:ascii="Helvetica Light" w:hAnsi="Helvetica Light"/>
          <w:sz w:val="24"/>
          <w:szCs w:val="24"/>
        </w:rPr>
        <w:t>’</w:t>
      </w:r>
      <w:r w:rsidRPr="00DD71EA">
        <w:rPr>
          <w:rFonts w:ascii="Helvetica Light" w:hAnsi="Helvetica Light"/>
          <w:sz w:val="24"/>
          <w:szCs w:val="24"/>
        </w:rPr>
        <w:t xml:space="preserve"> perpetrating unlawful killings, arbitrary arrests, enforced disappearances and sexual violence. House-to-house searches were conducted and there was widespread sexual violence</w:t>
      </w:r>
      <w:r w:rsidR="00A9051E" w:rsidRPr="00DD71EA">
        <w:rPr>
          <w:rFonts w:ascii="Helvetica Light" w:hAnsi="Helvetica Light"/>
          <w:sz w:val="24"/>
          <w:szCs w:val="24"/>
        </w:rPr>
        <w:t xml:space="preserve">, in particular rapes and </w:t>
      </w:r>
      <w:proofErr w:type="gramStart"/>
      <w:r w:rsidR="00A9051E" w:rsidRPr="00DD71EA">
        <w:rPr>
          <w:rFonts w:ascii="Helvetica Light" w:hAnsi="Helvetica Light"/>
          <w:sz w:val="24"/>
          <w:szCs w:val="24"/>
        </w:rPr>
        <w:t>gang-rapes</w:t>
      </w:r>
      <w:proofErr w:type="gramEnd"/>
      <w:r w:rsidR="00A9051E" w:rsidRPr="00DD71EA">
        <w:rPr>
          <w:rFonts w:ascii="Helvetica Light" w:hAnsi="Helvetica Light"/>
          <w:sz w:val="24"/>
          <w:szCs w:val="24"/>
        </w:rPr>
        <w:t xml:space="preserve"> of Nuer </w:t>
      </w:r>
      <w:r w:rsidR="00A9051E" w:rsidRPr="00DD71EA">
        <w:rPr>
          <w:rFonts w:ascii="Helvetica Light" w:hAnsi="Helvetica Light"/>
          <w:sz w:val="24"/>
          <w:szCs w:val="24"/>
        </w:rPr>
        <w:lastRenderedPageBreak/>
        <w:t>women and girls.</w:t>
      </w:r>
      <w:r w:rsidR="00A9051E" w:rsidRPr="00DD71EA">
        <w:rPr>
          <w:rStyle w:val="FootnoteReference"/>
          <w:rFonts w:ascii="Helvetica Light" w:hAnsi="Helvetica Light"/>
          <w:sz w:val="24"/>
          <w:szCs w:val="24"/>
        </w:rPr>
        <w:footnoteReference w:id="9"/>
      </w:r>
      <w:r w:rsidR="00A9051E" w:rsidRPr="00DD71EA">
        <w:rPr>
          <w:rFonts w:ascii="Helvetica Light" w:hAnsi="Helvetica Light"/>
          <w:sz w:val="24"/>
          <w:szCs w:val="24"/>
        </w:rPr>
        <w:t xml:space="preserve"> UNMISS received deeply disturbing reports of widespread sexual violence </w:t>
      </w:r>
      <w:r w:rsidR="00F467EB" w:rsidRPr="00DD71EA">
        <w:rPr>
          <w:rFonts w:ascii="Helvetica Light" w:hAnsi="Helvetica Light"/>
          <w:sz w:val="24"/>
          <w:szCs w:val="24"/>
        </w:rPr>
        <w:t xml:space="preserve">perpetrated </w:t>
      </w:r>
      <w:r w:rsidR="00A9051E" w:rsidRPr="00DD71EA">
        <w:rPr>
          <w:rFonts w:ascii="Helvetica Light" w:hAnsi="Helvetica Light"/>
          <w:sz w:val="24"/>
          <w:szCs w:val="24"/>
        </w:rPr>
        <w:t xml:space="preserve">by both soldiers in uniform and also by unidentified armed groups of men in plainclothes.  </w:t>
      </w:r>
    </w:p>
    <w:p w14:paraId="1B9218D1" w14:textId="4F501D10" w:rsidR="005542D7" w:rsidRPr="00DD71EA" w:rsidRDefault="009146B3" w:rsidP="009146B3">
      <w:pPr>
        <w:jc w:val="both"/>
        <w:rPr>
          <w:rStyle w:val="Hyperlink"/>
          <w:rFonts w:ascii="Helvetica Light" w:hAnsi="Helvetica Light"/>
          <w:sz w:val="24"/>
          <w:szCs w:val="24"/>
        </w:rPr>
      </w:pPr>
      <w:r w:rsidRPr="00DD71EA">
        <w:rPr>
          <w:rFonts w:ascii="Helvetica Light" w:hAnsi="Helvetica Light"/>
          <w:sz w:val="24"/>
          <w:szCs w:val="24"/>
        </w:rPr>
        <w:t>Hundreds of people, including civilians and two UN peacekeepers, were reportedly killed during five days of fighting. Approximately 42,000 people were displaced in Juba. Many civilians attempting to flee to UN bases were reportedly prevented from doing so and some were allegedly subjected to targeted killings</w:t>
      </w:r>
      <w:r w:rsidR="00E565A4" w:rsidRPr="00DD71EA">
        <w:rPr>
          <w:rFonts w:ascii="Helvetica Light" w:hAnsi="Helvetica Light"/>
          <w:sz w:val="24"/>
          <w:szCs w:val="24"/>
        </w:rPr>
        <w:t>.</w:t>
      </w:r>
      <w:r w:rsidR="00E565A4" w:rsidRPr="00DD71EA">
        <w:rPr>
          <w:rStyle w:val="FootnoteReference"/>
          <w:rFonts w:ascii="Helvetica Light" w:hAnsi="Helvetica Light"/>
          <w:sz w:val="24"/>
          <w:szCs w:val="24"/>
        </w:rPr>
        <w:footnoteReference w:id="10"/>
      </w:r>
      <w:r w:rsidRPr="00DD71EA">
        <w:rPr>
          <w:rStyle w:val="Hyperlink"/>
          <w:rFonts w:ascii="Helvetica Light" w:hAnsi="Helvetica Light"/>
          <w:sz w:val="24"/>
          <w:szCs w:val="24"/>
        </w:rPr>
        <w:t xml:space="preserve"> </w:t>
      </w:r>
    </w:p>
    <w:p w14:paraId="282244D9" w14:textId="596964CB" w:rsidR="00451179" w:rsidRPr="00DD71EA" w:rsidRDefault="00B93C8E" w:rsidP="00477FDA">
      <w:pPr>
        <w:jc w:val="both"/>
        <w:rPr>
          <w:rFonts w:ascii="Helvetica Light" w:hAnsi="Helvetica Light"/>
          <w:sz w:val="24"/>
          <w:szCs w:val="24"/>
        </w:rPr>
      </w:pPr>
      <w:r w:rsidRPr="00DD71EA">
        <w:rPr>
          <w:rFonts w:ascii="Helvetica Light" w:hAnsi="Helvetica Light"/>
          <w:sz w:val="24"/>
          <w:szCs w:val="24"/>
        </w:rPr>
        <w:t>By the afternoon of 11</w:t>
      </w:r>
      <w:r w:rsidR="0084156E" w:rsidRPr="00DD71EA">
        <w:rPr>
          <w:rFonts w:ascii="Helvetica Light" w:hAnsi="Helvetica Light"/>
          <w:sz w:val="24"/>
          <w:szCs w:val="24"/>
        </w:rPr>
        <w:t xml:space="preserve"> July</w:t>
      </w:r>
      <w:r w:rsidRPr="00DD71EA">
        <w:rPr>
          <w:rFonts w:ascii="Helvetica Light" w:hAnsi="Helvetica Light"/>
          <w:sz w:val="24"/>
          <w:szCs w:val="24"/>
        </w:rPr>
        <w:t>, large-scale fighting in Juba had mostly concluded and the SPLA had taken control of the opposition sites, as most surviving opposition forces had fled the city.</w:t>
      </w:r>
      <w:r w:rsidRPr="00DD71EA">
        <w:rPr>
          <w:rStyle w:val="FootnoteReference"/>
          <w:rFonts w:ascii="Helvetica Light" w:hAnsi="Helvetica Light"/>
          <w:sz w:val="24"/>
          <w:szCs w:val="24"/>
        </w:rPr>
        <w:footnoteReference w:id="11"/>
      </w:r>
    </w:p>
    <w:p w14:paraId="489A027C" w14:textId="2CDB1A25" w:rsidR="00204A8F" w:rsidRPr="00DD71EA" w:rsidRDefault="00451179" w:rsidP="00477FDA">
      <w:pPr>
        <w:jc w:val="both"/>
        <w:rPr>
          <w:rFonts w:ascii="Helvetica Light" w:hAnsi="Helvetica Light"/>
          <w:sz w:val="24"/>
          <w:szCs w:val="24"/>
        </w:rPr>
      </w:pPr>
      <w:r w:rsidRPr="00DD71EA">
        <w:rPr>
          <w:rFonts w:ascii="Helvetica Light" w:hAnsi="Helvetica Light"/>
          <w:sz w:val="24"/>
          <w:szCs w:val="24"/>
        </w:rPr>
        <w:t xml:space="preserve">During the violence, </w:t>
      </w:r>
      <w:r w:rsidR="00204A8F" w:rsidRPr="00DD71EA">
        <w:rPr>
          <w:rFonts w:ascii="Helvetica Light" w:hAnsi="Helvetica Light"/>
          <w:sz w:val="24"/>
          <w:szCs w:val="24"/>
        </w:rPr>
        <w:t xml:space="preserve">UNMISS </w:t>
      </w:r>
      <w:r w:rsidRPr="00DD71EA">
        <w:rPr>
          <w:rFonts w:ascii="Helvetica Light" w:hAnsi="Helvetica Light"/>
          <w:sz w:val="24"/>
          <w:szCs w:val="24"/>
        </w:rPr>
        <w:t>s</w:t>
      </w:r>
      <w:r w:rsidR="009B096D" w:rsidRPr="00DD71EA">
        <w:rPr>
          <w:rFonts w:ascii="Helvetica Light" w:hAnsi="Helvetica Light"/>
          <w:sz w:val="24"/>
          <w:szCs w:val="24"/>
        </w:rPr>
        <w:t>truggled to establish Mission-wide coordination and clear leadership, resulting in multiple and sometimes conflicting orders</w:t>
      </w:r>
      <w:r w:rsidR="0084156E" w:rsidRPr="00DD71EA">
        <w:rPr>
          <w:rFonts w:ascii="Helvetica Light" w:hAnsi="Helvetica Light"/>
          <w:sz w:val="24"/>
          <w:szCs w:val="24"/>
        </w:rPr>
        <w:t xml:space="preserve"> being issued to</w:t>
      </w:r>
      <w:r w:rsidR="009B096D" w:rsidRPr="00DD71EA">
        <w:rPr>
          <w:rFonts w:ascii="Helvetica Light" w:hAnsi="Helvetica Light"/>
          <w:sz w:val="24"/>
          <w:szCs w:val="24"/>
        </w:rPr>
        <w:t xml:space="preserve"> </w:t>
      </w:r>
      <w:proofErr w:type="spellStart"/>
      <w:r w:rsidR="009B096D" w:rsidRPr="00DD71EA">
        <w:rPr>
          <w:rFonts w:ascii="Helvetica Light" w:hAnsi="Helvetica Light"/>
          <w:sz w:val="24"/>
          <w:szCs w:val="24"/>
        </w:rPr>
        <w:t>to</w:t>
      </w:r>
      <w:proofErr w:type="spellEnd"/>
      <w:r w:rsidR="009B096D" w:rsidRPr="00DD71EA">
        <w:rPr>
          <w:rFonts w:ascii="Helvetica Light" w:hAnsi="Helvetica Light"/>
          <w:sz w:val="24"/>
          <w:szCs w:val="24"/>
        </w:rPr>
        <w:t xml:space="preserve"> different troops contingents.</w:t>
      </w:r>
      <w:r w:rsidR="00806953" w:rsidRPr="00DD71EA">
        <w:rPr>
          <w:rFonts w:ascii="Helvetica Light" w:hAnsi="Helvetica Light"/>
          <w:sz w:val="24"/>
          <w:szCs w:val="24"/>
        </w:rPr>
        <w:t xml:space="preserve"> </w:t>
      </w:r>
      <w:r w:rsidR="0084156E" w:rsidRPr="00DD71EA">
        <w:rPr>
          <w:rFonts w:ascii="Helvetica Light" w:hAnsi="Helvetica Light"/>
          <w:sz w:val="24"/>
          <w:szCs w:val="24"/>
        </w:rPr>
        <w:t>During</w:t>
      </w:r>
      <w:r w:rsidR="00806953" w:rsidRPr="00DD71EA">
        <w:rPr>
          <w:rFonts w:ascii="Helvetica Light" w:hAnsi="Helvetica Light"/>
          <w:sz w:val="24"/>
          <w:szCs w:val="24"/>
        </w:rPr>
        <w:t xml:space="preserve"> the aftermath of the outbreak of violence, the Mission failed </w:t>
      </w:r>
      <w:r w:rsidR="007C4018" w:rsidRPr="00DD71EA">
        <w:rPr>
          <w:rFonts w:ascii="Helvetica Light" w:hAnsi="Helvetica Light"/>
          <w:sz w:val="24"/>
          <w:szCs w:val="24"/>
        </w:rPr>
        <w:t xml:space="preserve">to </w:t>
      </w:r>
      <w:r w:rsidR="00806953" w:rsidRPr="00DD71EA">
        <w:rPr>
          <w:rFonts w:ascii="Helvetica Light" w:hAnsi="Helvetica Light"/>
          <w:sz w:val="24"/>
          <w:szCs w:val="24"/>
        </w:rPr>
        <w:t>respond to incident</w:t>
      </w:r>
      <w:r w:rsidR="007C4018" w:rsidRPr="00DD71EA">
        <w:rPr>
          <w:rFonts w:ascii="Helvetica Light" w:hAnsi="Helvetica Light"/>
          <w:sz w:val="24"/>
          <w:szCs w:val="24"/>
        </w:rPr>
        <w:t>s</w:t>
      </w:r>
      <w:r w:rsidR="00806953" w:rsidRPr="00DD71EA">
        <w:rPr>
          <w:rFonts w:ascii="Helvetica Light" w:hAnsi="Helvetica Light"/>
          <w:sz w:val="24"/>
          <w:szCs w:val="24"/>
        </w:rPr>
        <w:t xml:space="preserve"> of s</w:t>
      </w:r>
      <w:r w:rsidR="007C4018" w:rsidRPr="00DD71EA">
        <w:rPr>
          <w:rFonts w:ascii="Helvetica Light" w:hAnsi="Helvetica Light"/>
          <w:sz w:val="24"/>
          <w:szCs w:val="24"/>
        </w:rPr>
        <w:t>exual violence.</w:t>
      </w:r>
      <w:r w:rsidR="00806953" w:rsidRPr="00DD71EA">
        <w:rPr>
          <w:rFonts w:ascii="Helvetica Light" w:hAnsi="Helvetica Light"/>
          <w:sz w:val="24"/>
          <w:szCs w:val="24"/>
        </w:rPr>
        <w:t xml:space="preserve"> Furthermore, the Mission did not provide adequate protection to the World Food Program warehouse and food, equipment and supplies </w:t>
      </w:r>
      <w:r w:rsidR="0084156E" w:rsidRPr="00DD71EA">
        <w:rPr>
          <w:rFonts w:ascii="Helvetica Light" w:hAnsi="Helvetica Light"/>
          <w:sz w:val="24"/>
          <w:szCs w:val="24"/>
        </w:rPr>
        <w:t>USD 29 million were looted.</w:t>
      </w:r>
      <w:r w:rsidR="00806953" w:rsidRPr="00DD71EA">
        <w:rPr>
          <w:rFonts w:ascii="Helvetica Light" w:hAnsi="Helvetica Light"/>
          <w:sz w:val="24"/>
          <w:szCs w:val="24"/>
        </w:rPr>
        <w:t xml:space="preserve"> </w:t>
      </w:r>
      <w:proofErr w:type="gramStart"/>
      <w:r w:rsidR="00806953" w:rsidRPr="00DD71EA">
        <w:rPr>
          <w:rFonts w:ascii="Helvetica Light" w:hAnsi="Helvetica Light"/>
          <w:sz w:val="24"/>
          <w:szCs w:val="24"/>
        </w:rPr>
        <w:t>weeks</w:t>
      </w:r>
      <w:proofErr w:type="gramEnd"/>
      <w:r w:rsidR="00806953" w:rsidRPr="00DD71EA">
        <w:rPr>
          <w:rFonts w:ascii="Helvetica Light" w:hAnsi="Helvetica Light"/>
          <w:sz w:val="24"/>
          <w:szCs w:val="24"/>
        </w:rPr>
        <w:t>.</w:t>
      </w:r>
      <w:r w:rsidRPr="00DD71EA">
        <w:rPr>
          <w:rStyle w:val="FootnoteReference"/>
          <w:rFonts w:ascii="Helvetica Light" w:hAnsi="Helvetica Light"/>
          <w:sz w:val="24"/>
          <w:szCs w:val="24"/>
        </w:rPr>
        <w:footnoteReference w:id="12"/>
      </w:r>
      <w:r w:rsidR="00806953" w:rsidRPr="00DD71EA">
        <w:rPr>
          <w:rFonts w:ascii="Helvetica Light" w:hAnsi="Helvetica Light"/>
          <w:sz w:val="24"/>
          <w:szCs w:val="24"/>
        </w:rPr>
        <w:t xml:space="preserve"> </w:t>
      </w:r>
    </w:p>
    <w:p w14:paraId="4BB59EE9" w14:textId="119E222B" w:rsidR="005542D7" w:rsidRPr="00DD71EA" w:rsidRDefault="005542D7" w:rsidP="007D63A5">
      <w:pPr>
        <w:jc w:val="both"/>
        <w:rPr>
          <w:rFonts w:ascii="Helvetica Light" w:hAnsi="Helvetica Light"/>
          <w:sz w:val="24"/>
          <w:szCs w:val="24"/>
        </w:rPr>
      </w:pPr>
    </w:p>
    <w:p w14:paraId="0FB00B7E" w14:textId="23ADB9A9" w:rsidR="002D54EA" w:rsidRPr="00DD71EA" w:rsidRDefault="002D54EA" w:rsidP="007C4018">
      <w:pPr>
        <w:rPr>
          <w:rFonts w:ascii="Helvetica Light" w:hAnsi="Helvetica Light"/>
          <w:sz w:val="24"/>
          <w:szCs w:val="24"/>
        </w:rPr>
      </w:pPr>
    </w:p>
    <w:sectPr w:rsidR="002D54EA" w:rsidRPr="00DD71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BE61" w14:textId="77777777" w:rsidR="00963DB5" w:rsidRDefault="00963DB5" w:rsidP="009146B3">
      <w:pPr>
        <w:spacing w:after="0" w:line="240" w:lineRule="auto"/>
      </w:pPr>
      <w:r>
        <w:separator/>
      </w:r>
    </w:p>
  </w:endnote>
  <w:endnote w:type="continuationSeparator" w:id="0">
    <w:p w14:paraId="3033E325" w14:textId="77777777" w:rsidR="00963DB5" w:rsidRDefault="00963DB5" w:rsidP="0091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Light">
    <w:altName w:val="Malgun Gothic"/>
    <w:charset w:val="00"/>
    <w:family w:val="auto"/>
    <w:pitch w:val="variable"/>
    <w:sig w:usb0="00000003"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26887" w14:textId="77777777" w:rsidR="00963DB5" w:rsidRDefault="00963DB5" w:rsidP="009146B3">
      <w:pPr>
        <w:spacing w:after="0" w:line="240" w:lineRule="auto"/>
      </w:pPr>
      <w:r>
        <w:separator/>
      </w:r>
    </w:p>
  </w:footnote>
  <w:footnote w:type="continuationSeparator" w:id="0">
    <w:p w14:paraId="744231F6" w14:textId="77777777" w:rsidR="00963DB5" w:rsidRDefault="00963DB5" w:rsidP="009146B3">
      <w:pPr>
        <w:spacing w:after="0" w:line="240" w:lineRule="auto"/>
      </w:pPr>
      <w:r>
        <w:continuationSeparator/>
      </w:r>
    </w:p>
  </w:footnote>
  <w:footnote w:id="1">
    <w:p w14:paraId="433E7C51" w14:textId="77777777" w:rsidR="00215926" w:rsidRPr="007C4018" w:rsidRDefault="00215926" w:rsidP="009146B3">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w:t>
      </w:r>
      <w:hyperlink r:id="rId1" w:history="1">
        <w:r w:rsidRPr="007C4018">
          <w:rPr>
            <w:rStyle w:val="Hyperlink"/>
            <w:rFonts w:ascii="Georgia" w:hAnsi="Georgia"/>
          </w:rPr>
          <w:t>(GCR2P Monitor, March 2016)</w:t>
        </w:r>
      </w:hyperlink>
      <w:r w:rsidRPr="007C4018">
        <w:rPr>
          <w:rStyle w:val="Hyperlink"/>
          <w:rFonts w:ascii="Georgia" w:hAnsi="Georgia"/>
        </w:rPr>
        <w:t xml:space="preserve"> </w:t>
      </w:r>
    </w:p>
  </w:footnote>
  <w:footnote w:id="2">
    <w:p w14:paraId="7435517D" w14:textId="77777777" w:rsidR="00215926" w:rsidRPr="007C4018" w:rsidRDefault="00215926" w:rsidP="00493654">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Executive Summary of the Independent Special Investigation into the violence which occurred in Juba in 2016 and UNMISS response, </w:t>
      </w:r>
      <w:hyperlink r:id="rId2" w:history="1">
        <w:r w:rsidRPr="007C4018">
          <w:rPr>
            <w:rStyle w:val="Hyperlink"/>
            <w:rFonts w:ascii="Georgia" w:hAnsi="Georgia"/>
          </w:rPr>
          <w:t>http://www.un.org/News/dh/infocus/sudan/Public_Executive_Summary_on_the_Special_Investigation_Report_1_Nov_2016.pdf</w:t>
        </w:r>
      </w:hyperlink>
    </w:p>
  </w:footnote>
  <w:footnote w:id="3">
    <w:p w14:paraId="1B067F5C" w14:textId="77777777" w:rsidR="00215926" w:rsidRPr="007C4018" w:rsidRDefault="00215926">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Independent Special Investigation; above no. 2.</w:t>
      </w:r>
    </w:p>
  </w:footnote>
  <w:footnote w:id="4">
    <w:p w14:paraId="321EAD41" w14:textId="2D2360B0" w:rsidR="00215926" w:rsidRPr="007C4018" w:rsidRDefault="00215926">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Panel of Experts Report </w:t>
      </w:r>
      <w:hyperlink r:id="rId3" w:history="1">
        <w:r w:rsidRPr="007C4018">
          <w:rPr>
            <w:rStyle w:val="Hyperlink"/>
            <w:rFonts w:ascii="Georgia" w:hAnsi="Georgia"/>
          </w:rPr>
          <w:t>http://www.un.org/ga/search/view_doc.asp?symbol=S/2016/793</w:t>
        </w:r>
      </w:hyperlink>
      <w:r w:rsidRPr="007C4018">
        <w:rPr>
          <w:rFonts w:ascii="Georgia" w:hAnsi="Georgia"/>
        </w:rPr>
        <w:t xml:space="preserve"> </w:t>
      </w:r>
    </w:p>
  </w:footnote>
  <w:footnote w:id="5">
    <w:p w14:paraId="6350AC7C" w14:textId="77777777" w:rsidR="00215926" w:rsidRPr="007C4018" w:rsidRDefault="00215926" w:rsidP="009146B3">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w:t>
      </w:r>
      <w:hyperlink r:id="rId4" w:history="1">
        <w:r w:rsidRPr="007C4018">
          <w:rPr>
            <w:rStyle w:val="Hyperlink"/>
            <w:rFonts w:ascii="Georgia" w:hAnsi="Georgia"/>
          </w:rPr>
          <w:t>(GCR2P Monitor, July 2016)</w:t>
        </w:r>
      </w:hyperlink>
    </w:p>
  </w:footnote>
  <w:footnote w:id="6">
    <w:p w14:paraId="467E8938" w14:textId="77777777" w:rsidR="008D0339" w:rsidRPr="007C4018" w:rsidRDefault="008D0339" w:rsidP="008D0339">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w:t>
      </w:r>
      <w:hyperlink r:id="rId5" w:history="1">
        <w:r w:rsidRPr="007C4018">
          <w:rPr>
            <w:rStyle w:val="Hyperlink"/>
            <w:rFonts w:ascii="Georgia" w:hAnsi="Georgia"/>
          </w:rPr>
          <w:t>(GCR2P Monitor, March 2016)</w:t>
        </w:r>
      </w:hyperlink>
      <w:r w:rsidRPr="007C4018">
        <w:rPr>
          <w:rFonts w:ascii="Georgia" w:hAnsi="Georgia"/>
        </w:rPr>
        <w:t xml:space="preserve"> </w:t>
      </w:r>
      <w:hyperlink r:id="rId6" w:history="1">
        <w:r w:rsidRPr="007C4018">
          <w:rPr>
            <w:rStyle w:val="Hyperlink"/>
            <w:rFonts w:ascii="Georgia" w:hAnsi="Georgia"/>
          </w:rPr>
          <w:t>(GCR2P Monitor, July 2016)</w:t>
        </w:r>
      </w:hyperlink>
      <w:r w:rsidRPr="007C4018">
        <w:rPr>
          <w:rFonts w:ascii="Georgia" w:hAnsi="Georgia"/>
        </w:rPr>
        <w:t xml:space="preserve">. </w:t>
      </w:r>
    </w:p>
  </w:footnote>
  <w:footnote w:id="7">
    <w:p w14:paraId="7EE91CD4" w14:textId="5A114CE9" w:rsidR="00215926" w:rsidRPr="007C4018" w:rsidRDefault="00215926" w:rsidP="00A9051E">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Panel of Experts Report </w:t>
      </w:r>
      <w:hyperlink r:id="rId7" w:history="1">
        <w:r w:rsidRPr="007C4018">
          <w:rPr>
            <w:rStyle w:val="Hyperlink"/>
            <w:rFonts w:ascii="Georgia" w:hAnsi="Georgia"/>
          </w:rPr>
          <w:t>http://www.un.org/ga/search/view_doc.asp?symbol=S/2016/793</w:t>
        </w:r>
      </w:hyperlink>
      <w:r w:rsidRPr="007C4018">
        <w:rPr>
          <w:rFonts w:ascii="Georgia" w:hAnsi="Georgia"/>
        </w:rPr>
        <w:t xml:space="preserve"> p7. </w:t>
      </w:r>
    </w:p>
  </w:footnote>
  <w:footnote w:id="8">
    <w:p w14:paraId="7EFE6416" w14:textId="77777777" w:rsidR="00215926" w:rsidRPr="007C4018" w:rsidRDefault="00215926">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Independent Special Investigation; above no. 2.</w:t>
      </w:r>
    </w:p>
  </w:footnote>
  <w:footnote w:id="9">
    <w:p w14:paraId="15CF3865" w14:textId="77777777" w:rsidR="00215926" w:rsidRPr="007C4018" w:rsidRDefault="00215926" w:rsidP="00A9051E">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Panel of Experts Report </w:t>
      </w:r>
      <w:hyperlink r:id="rId8" w:history="1">
        <w:r w:rsidRPr="007C4018">
          <w:rPr>
            <w:rStyle w:val="Hyperlink"/>
            <w:rFonts w:ascii="Georgia" w:hAnsi="Georgia"/>
          </w:rPr>
          <w:t>http://www.un.org/ga/search/view_doc.asp?symbol=S/2016/793</w:t>
        </w:r>
      </w:hyperlink>
      <w:r w:rsidRPr="007C4018">
        <w:rPr>
          <w:rFonts w:ascii="Georgia" w:hAnsi="Georgia"/>
        </w:rPr>
        <w:t xml:space="preserve"> </w:t>
      </w:r>
    </w:p>
  </w:footnote>
  <w:footnote w:id="10">
    <w:p w14:paraId="0052AD29" w14:textId="77777777" w:rsidR="00215926" w:rsidRPr="007C4018" w:rsidRDefault="00215926" w:rsidP="00E565A4">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w:t>
      </w:r>
      <w:hyperlink r:id="rId9" w:history="1">
        <w:r w:rsidRPr="007C4018">
          <w:rPr>
            <w:rStyle w:val="Hyperlink"/>
            <w:rFonts w:ascii="Georgia" w:hAnsi="Georgia"/>
          </w:rPr>
          <w:t>(GCR2P Monitor July 2016)</w:t>
        </w:r>
      </w:hyperlink>
      <w:r w:rsidRPr="007C4018">
        <w:rPr>
          <w:rStyle w:val="Hyperlink"/>
          <w:rFonts w:ascii="Georgia" w:hAnsi="Georgia"/>
        </w:rPr>
        <w:t>.</w:t>
      </w:r>
    </w:p>
  </w:footnote>
  <w:footnote w:id="11">
    <w:p w14:paraId="38CB2AA3" w14:textId="4882A83B" w:rsidR="00215926" w:rsidRPr="007C4018" w:rsidRDefault="00215926">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Panel of Experts Report </w:t>
      </w:r>
      <w:hyperlink r:id="rId10" w:history="1">
        <w:r w:rsidRPr="007C4018">
          <w:rPr>
            <w:rStyle w:val="Hyperlink"/>
            <w:rFonts w:ascii="Georgia" w:hAnsi="Georgia"/>
          </w:rPr>
          <w:t>http://www.un.org/ga/search/view_doc.asp?symbol=S/2016/793</w:t>
        </w:r>
      </w:hyperlink>
      <w:r w:rsidRPr="007C4018">
        <w:rPr>
          <w:rFonts w:ascii="Georgia" w:hAnsi="Georgia"/>
        </w:rPr>
        <w:t xml:space="preserve"> </w:t>
      </w:r>
    </w:p>
  </w:footnote>
  <w:footnote w:id="12">
    <w:p w14:paraId="7852A6C4" w14:textId="60F4F8BC" w:rsidR="00215926" w:rsidRPr="007C4018" w:rsidRDefault="00215926">
      <w:pPr>
        <w:pStyle w:val="FootnoteText"/>
        <w:rPr>
          <w:rFonts w:ascii="Georgia" w:hAnsi="Georgia"/>
        </w:rPr>
      </w:pPr>
      <w:r w:rsidRPr="007C4018">
        <w:rPr>
          <w:rStyle w:val="FootnoteReference"/>
          <w:rFonts w:ascii="Georgia" w:hAnsi="Georgia"/>
        </w:rPr>
        <w:footnoteRef/>
      </w:r>
      <w:r w:rsidRPr="007C4018">
        <w:rPr>
          <w:rFonts w:ascii="Georgia" w:hAnsi="Georgia"/>
        </w:rPr>
        <w:t xml:space="preserve"> Independent Special Investigation; above no.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661"/>
    <w:multiLevelType w:val="hybridMultilevel"/>
    <w:tmpl w:val="29C6EC7E"/>
    <w:lvl w:ilvl="0" w:tplc="A5D6A2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D7"/>
    <w:rsid w:val="00040AC8"/>
    <w:rsid w:val="000920BE"/>
    <w:rsid w:val="000A086A"/>
    <w:rsid w:val="001670E6"/>
    <w:rsid w:val="0018038B"/>
    <w:rsid w:val="001D5893"/>
    <w:rsid w:val="00204A8F"/>
    <w:rsid w:val="00215926"/>
    <w:rsid w:val="00235CCF"/>
    <w:rsid w:val="00260475"/>
    <w:rsid w:val="00291CA0"/>
    <w:rsid w:val="00292FA2"/>
    <w:rsid w:val="002D54EA"/>
    <w:rsid w:val="00331393"/>
    <w:rsid w:val="00444D5B"/>
    <w:rsid w:val="00451179"/>
    <w:rsid w:val="00477FDA"/>
    <w:rsid w:val="00493654"/>
    <w:rsid w:val="004D3ED0"/>
    <w:rsid w:val="005542D7"/>
    <w:rsid w:val="005C3678"/>
    <w:rsid w:val="005D3848"/>
    <w:rsid w:val="005F4A54"/>
    <w:rsid w:val="00625517"/>
    <w:rsid w:val="006D79DD"/>
    <w:rsid w:val="00714299"/>
    <w:rsid w:val="0072329F"/>
    <w:rsid w:val="007539E0"/>
    <w:rsid w:val="007C4018"/>
    <w:rsid w:val="007D63A5"/>
    <w:rsid w:val="00806953"/>
    <w:rsid w:val="0084156E"/>
    <w:rsid w:val="00885168"/>
    <w:rsid w:val="00894DB1"/>
    <w:rsid w:val="008D0339"/>
    <w:rsid w:val="008D5C84"/>
    <w:rsid w:val="009146B3"/>
    <w:rsid w:val="0091526D"/>
    <w:rsid w:val="00963DB5"/>
    <w:rsid w:val="009B096D"/>
    <w:rsid w:val="009E3AC4"/>
    <w:rsid w:val="00A9051E"/>
    <w:rsid w:val="00B93C8E"/>
    <w:rsid w:val="00C12743"/>
    <w:rsid w:val="00C7217B"/>
    <w:rsid w:val="00CE4DC4"/>
    <w:rsid w:val="00D33272"/>
    <w:rsid w:val="00D727D3"/>
    <w:rsid w:val="00DD16D0"/>
    <w:rsid w:val="00DD71EA"/>
    <w:rsid w:val="00E1643E"/>
    <w:rsid w:val="00E565A4"/>
    <w:rsid w:val="00EC45D0"/>
    <w:rsid w:val="00F467EB"/>
    <w:rsid w:val="00FE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AE617"/>
  <w15:docId w15:val="{E069E63C-8068-4170-9288-896471CF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6B3"/>
    <w:rPr>
      <w:color w:val="0563C1" w:themeColor="hyperlink"/>
      <w:u w:val="single"/>
    </w:rPr>
  </w:style>
  <w:style w:type="paragraph" w:styleId="FootnoteText">
    <w:name w:val="footnote text"/>
    <w:basedOn w:val="Normal"/>
    <w:link w:val="FootnoteTextChar"/>
    <w:uiPriority w:val="99"/>
    <w:semiHidden/>
    <w:unhideWhenUsed/>
    <w:rsid w:val="00914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6B3"/>
    <w:rPr>
      <w:sz w:val="20"/>
      <w:szCs w:val="20"/>
    </w:rPr>
  </w:style>
  <w:style w:type="character" w:styleId="FootnoteReference">
    <w:name w:val="footnote reference"/>
    <w:basedOn w:val="DefaultParagraphFont"/>
    <w:uiPriority w:val="99"/>
    <w:semiHidden/>
    <w:unhideWhenUsed/>
    <w:rsid w:val="009146B3"/>
    <w:rPr>
      <w:vertAlign w:val="superscript"/>
    </w:rPr>
  </w:style>
  <w:style w:type="character" w:styleId="CommentReference">
    <w:name w:val="annotation reference"/>
    <w:basedOn w:val="DefaultParagraphFont"/>
    <w:uiPriority w:val="99"/>
    <w:semiHidden/>
    <w:unhideWhenUsed/>
    <w:rsid w:val="00E565A4"/>
    <w:rPr>
      <w:sz w:val="16"/>
      <w:szCs w:val="16"/>
    </w:rPr>
  </w:style>
  <w:style w:type="paragraph" w:styleId="CommentText">
    <w:name w:val="annotation text"/>
    <w:basedOn w:val="Normal"/>
    <w:link w:val="CommentTextChar"/>
    <w:uiPriority w:val="99"/>
    <w:semiHidden/>
    <w:unhideWhenUsed/>
    <w:rsid w:val="00E565A4"/>
    <w:pPr>
      <w:spacing w:line="240" w:lineRule="auto"/>
    </w:pPr>
    <w:rPr>
      <w:sz w:val="20"/>
      <w:szCs w:val="20"/>
    </w:rPr>
  </w:style>
  <w:style w:type="character" w:customStyle="1" w:styleId="CommentTextChar">
    <w:name w:val="Comment Text Char"/>
    <w:basedOn w:val="DefaultParagraphFont"/>
    <w:link w:val="CommentText"/>
    <w:uiPriority w:val="99"/>
    <w:semiHidden/>
    <w:rsid w:val="00E565A4"/>
    <w:rPr>
      <w:sz w:val="20"/>
      <w:szCs w:val="20"/>
    </w:rPr>
  </w:style>
  <w:style w:type="paragraph" w:styleId="CommentSubject">
    <w:name w:val="annotation subject"/>
    <w:basedOn w:val="CommentText"/>
    <w:next w:val="CommentText"/>
    <w:link w:val="CommentSubjectChar"/>
    <w:uiPriority w:val="99"/>
    <w:semiHidden/>
    <w:unhideWhenUsed/>
    <w:rsid w:val="00E565A4"/>
    <w:rPr>
      <w:b/>
      <w:bCs/>
    </w:rPr>
  </w:style>
  <w:style w:type="character" w:customStyle="1" w:styleId="CommentSubjectChar">
    <w:name w:val="Comment Subject Char"/>
    <w:basedOn w:val="CommentTextChar"/>
    <w:link w:val="CommentSubject"/>
    <w:uiPriority w:val="99"/>
    <w:semiHidden/>
    <w:rsid w:val="00E565A4"/>
    <w:rPr>
      <w:b/>
      <w:bCs/>
      <w:sz w:val="20"/>
      <w:szCs w:val="20"/>
    </w:rPr>
  </w:style>
  <w:style w:type="paragraph" w:styleId="BalloonText">
    <w:name w:val="Balloon Text"/>
    <w:basedOn w:val="Normal"/>
    <w:link w:val="BalloonTextChar"/>
    <w:uiPriority w:val="99"/>
    <w:semiHidden/>
    <w:unhideWhenUsed/>
    <w:rsid w:val="00E56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5A4"/>
    <w:rPr>
      <w:rFonts w:ascii="Segoe UI" w:hAnsi="Segoe UI" w:cs="Segoe UI"/>
      <w:sz w:val="18"/>
      <w:szCs w:val="18"/>
    </w:rPr>
  </w:style>
  <w:style w:type="paragraph" w:styleId="NormalWeb">
    <w:name w:val="Normal (Web)"/>
    <w:basedOn w:val="Normal"/>
    <w:uiPriority w:val="99"/>
    <w:unhideWhenUsed/>
    <w:rsid w:val="005542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3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org/ga/search/view_doc.asp?symbol=S/2016/793" TargetMode="External"/><Relationship Id="rId3" Type="http://schemas.openxmlformats.org/officeDocument/2006/relationships/hyperlink" Target="http://www.un.org/ga/search/view_doc.asp?symbol=S/2016/793" TargetMode="External"/><Relationship Id="rId7" Type="http://schemas.openxmlformats.org/officeDocument/2006/relationships/hyperlink" Target="http://www.un.org/ga/search/view_doc.asp?symbol=S/2016/793" TargetMode="External"/><Relationship Id="rId2" Type="http://schemas.openxmlformats.org/officeDocument/2006/relationships/hyperlink" Target="http://www.un.org/News/dh/infocus/sudan/Public_Executive_Summary_on_the_Special_Investigation_Report_1_Nov_2016.pdf" TargetMode="External"/><Relationship Id="rId1" Type="http://schemas.openxmlformats.org/officeDocument/2006/relationships/hyperlink" Target="http://www.globalr2p.org/media/files/r2p-monitor-march-2016-final.pdf" TargetMode="External"/><Relationship Id="rId6" Type="http://schemas.openxmlformats.org/officeDocument/2006/relationships/hyperlink" Target="http://www.globalr2p.org/media/files/r2p_monitor_july2016_final.pdf" TargetMode="External"/><Relationship Id="rId5" Type="http://schemas.openxmlformats.org/officeDocument/2006/relationships/hyperlink" Target="http://www.globalr2p.org/media/files/r2p-monitor-march-2016-final.pdf" TargetMode="External"/><Relationship Id="rId10" Type="http://schemas.openxmlformats.org/officeDocument/2006/relationships/hyperlink" Target="http://www.un.org/ga/search/view_doc.asp?symbol=S/2016/793" TargetMode="External"/><Relationship Id="rId4" Type="http://schemas.openxmlformats.org/officeDocument/2006/relationships/hyperlink" Target="http://www.globalr2p.org/media/files/r2p_monitor_july2016_final.pdf" TargetMode="External"/><Relationship Id="rId9" Type="http://schemas.openxmlformats.org/officeDocument/2006/relationships/hyperlink" Target="http://www.globalr2p.org/media/files/r2p_monitor_july2016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5E07D-89E4-41B9-AFE5-B989257F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CUNY Graduate Center</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Isabel</dc:creator>
  <cp:keywords/>
  <dc:description/>
  <cp:lastModifiedBy>Paauwe, Juliette</cp:lastModifiedBy>
  <cp:revision>2</cp:revision>
  <dcterms:created xsi:type="dcterms:W3CDTF">2018-03-01T22:15:00Z</dcterms:created>
  <dcterms:modified xsi:type="dcterms:W3CDTF">2018-03-01T22:15:00Z</dcterms:modified>
</cp:coreProperties>
</file>