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91D75" w14:textId="0C15EB77" w:rsidR="002C4152" w:rsidRPr="002C4152" w:rsidRDefault="002201CB" w:rsidP="002C4152">
      <w:pPr>
        <w:spacing w:after="200" w:line="276" w:lineRule="auto"/>
        <w:jc w:val="center"/>
        <w:rPr>
          <w:rFonts w:ascii="Helvetica" w:hAnsi="Helvetica" w:cs="Times New Roman"/>
          <w:b/>
          <w:sz w:val="24"/>
          <w:szCs w:val="24"/>
          <w:u w:val="single"/>
        </w:rPr>
      </w:pPr>
      <w:bookmarkStart w:id="0" w:name="_GoBack"/>
      <w:bookmarkEnd w:id="0"/>
      <w:r w:rsidRPr="002C4152">
        <w:rPr>
          <w:rFonts w:ascii="Helvetica" w:hAnsi="Helvetica" w:cs="Times New Roman"/>
          <w:b/>
          <w:sz w:val="24"/>
          <w:szCs w:val="24"/>
          <w:u w:val="single"/>
        </w:rPr>
        <w:t>Ac</w:t>
      </w:r>
      <w:r w:rsidR="002C4152" w:rsidRPr="002C4152">
        <w:rPr>
          <w:rFonts w:ascii="Helvetica" w:hAnsi="Helvetica" w:cs="Times New Roman"/>
          <w:b/>
          <w:sz w:val="24"/>
          <w:szCs w:val="24"/>
          <w:u w:val="single"/>
        </w:rPr>
        <w:t>tivity 3.1 Case Study Scenario 4</w:t>
      </w:r>
      <w:r w:rsidRPr="002C4152">
        <w:rPr>
          <w:rFonts w:ascii="Helvetica" w:hAnsi="Helvetica" w:cs="Times New Roman"/>
          <w:b/>
          <w:sz w:val="24"/>
          <w:szCs w:val="24"/>
          <w:u w:val="single"/>
        </w:rPr>
        <w:t xml:space="preserve"> </w:t>
      </w:r>
      <w:r w:rsidR="00484573" w:rsidRPr="002C4152">
        <w:rPr>
          <w:rFonts w:ascii="Helvetica" w:hAnsi="Helvetica" w:cs="Times New Roman"/>
          <w:b/>
          <w:sz w:val="24"/>
          <w:szCs w:val="24"/>
          <w:u w:val="single"/>
        </w:rPr>
        <w:t>–</w:t>
      </w:r>
      <w:r w:rsidR="006C6F48" w:rsidRPr="002C4152">
        <w:rPr>
          <w:rFonts w:ascii="Helvetica" w:hAnsi="Helvetica" w:cs="Times New Roman"/>
          <w:b/>
          <w:sz w:val="24"/>
          <w:szCs w:val="24"/>
          <w:u w:val="single"/>
        </w:rPr>
        <w:t xml:space="preserve"> </w:t>
      </w:r>
      <w:r w:rsidR="002C4152" w:rsidRPr="002C4152">
        <w:rPr>
          <w:rFonts w:ascii="Helvetica" w:hAnsi="Helvetica"/>
          <w:b/>
          <w:sz w:val="24"/>
          <w:szCs w:val="24"/>
          <w:u w:val="single"/>
        </w:rPr>
        <w:t>Mali: Retaliatory Attacks, February 2017</w:t>
      </w:r>
    </w:p>
    <w:p w14:paraId="54ABD011" w14:textId="77777777" w:rsidR="002C4152" w:rsidRPr="002C4152" w:rsidRDefault="002C4152" w:rsidP="002C4152">
      <w:pPr>
        <w:spacing w:after="200" w:line="276" w:lineRule="auto"/>
        <w:jc w:val="both"/>
        <w:rPr>
          <w:rFonts w:ascii="Helvetica" w:hAnsi="Helvetica"/>
          <w:b/>
          <w:sz w:val="24"/>
          <w:szCs w:val="24"/>
        </w:rPr>
      </w:pPr>
      <w:r w:rsidRPr="002C4152">
        <w:rPr>
          <w:rFonts w:ascii="Helvetica" w:hAnsi="Helvetica"/>
          <w:b/>
          <w:sz w:val="24"/>
          <w:szCs w:val="24"/>
        </w:rPr>
        <w:t>Background</w:t>
      </w:r>
    </w:p>
    <w:p w14:paraId="5E5A0FB7" w14:textId="77777777" w:rsidR="002C4152" w:rsidRPr="002C4152" w:rsidRDefault="002C4152" w:rsidP="002C4152">
      <w:pPr>
        <w:spacing w:after="200" w:line="276" w:lineRule="auto"/>
        <w:jc w:val="both"/>
        <w:rPr>
          <w:rFonts w:ascii="Helvetica Light" w:hAnsi="Helvetica Light"/>
          <w:sz w:val="24"/>
          <w:szCs w:val="24"/>
        </w:rPr>
      </w:pPr>
      <w:r w:rsidRPr="002C4152">
        <w:rPr>
          <w:rFonts w:ascii="Helvetica Light" w:hAnsi="Helvetica Light"/>
          <w:sz w:val="24"/>
          <w:szCs w:val="24"/>
        </w:rPr>
        <w:t xml:space="preserve">In January 2012, the </w:t>
      </w:r>
      <w:proofErr w:type="spellStart"/>
      <w:r w:rsidRPr="002C4152">
        <w:rPr>
          <w:rFonts w:ascii="Helvetica Light" w:hAnsi="Helvetica Light"/>
          <w:sz w:val="24"/>
          <w:szCs w:val="24"/>
        </w:rPr>
        <w:t>Tuareg</w:t>
      </w:r>
      <w:proofErr w:type="spellEnd"/>
      <w:r w:rsidRPr="002C4152">
        <w:rPr>
          <w:rFonts w:ascii="Helvetica Light" w:hAnsi="Helvetica Light"/>
          <w:sz w:val="24"/>
          <w:szCs w:val="24"/>
        </w:rPr>
        <w:t xml:space="preserve"> National Movement for the Liberation of Azawad (MNLA) launched a rebellion seeking to gain independence for northern Mali. In March, the military launched a coup against then-President </w:t>
      </w:r>
      <w:proofErr w:type="spellStart"/>
      <w:r w:rsidRPr="002C4152">
        <w:rPr>
          <w:rFonts w:ascii="Helvetica Light" w:hAnsi="Helvetica Light"/>
          <w:sz w:val="24"/>
          <w:szCs w:val="24"/>
        </w:rPr>
        <w:t>Amadou</w:t>
      </w:r>
      <w:proofErr w:type="spellEnd"/>
      <w:r w:rsidRPr="002C4152">
        <w:rPr>
          <w:rFonts w:ascii="Helvetica Light" w:hAnsi="Helvetica Light"/>
          <w:sz w:val="24"/>
          <w:szCs w:val="24"/>
        </w:rPr>
        <w:t xml:space="preserve"> </w:t>
      </w:r>
      <w:proofErr w:type="spellStart"/>
      <w:r w:rsidRPr="002C4152">
        <w:rPr>
          <w:rFonts w:ascii="Helvetica Light" w:hAnsi="Helvetica Light"/>
          <w:sz w:val="24"/>
          <w:szCs w:val="24"/>
        </w:rPr>
        <w:t>Toumani</w:t>
      </w:r>
      <w:proofErr w:type="spellEnd"/>
      <w:r w:rsidRPr="002C4152">
        <w:rPr>
          <w:rFonts w:ascii="Helvetica Light" w:hAnsi="Helvetica Light"/>
          <w:sz w:val="24"/>
          <w:szCs w:val="24"/>
        </w:rPr>
        <w:t xml:space="preserve"> </w:t>
      </w:r>
      <w:proofErr w:type="spellStart"/>
      <w:r w:rsidRPr="002C4152">
        <w:rPr>
          <w:rFonts w:ascii="Helvetica Light" w:hAnsi="Helvetica Light"/>
          <w:sz w:val="24"/>
          <w:szCs w:val="24"/>
        </w:rPr>
        <w:t>Touré</w:t>
      </w:r>
      <w:proofErr w:type="spellEnd"/>
      <w:r w:rsidRPr="002C4152">
        <w:rPr>
          <w:rFonts w:ascii="Helvetica Light" w:hAnsi="Helvetica Light"/>
          <w:sz w:val="24"/>
          <w:szCs w:val="24"/>
        </w:rPr>
        <w:t xml:space="preserve"> in protest of what they viewed as the government’s inadequate response to the rebellion. MNLA and Islamist armed groups took advantage of the chaos to claim most of the North.</w:t>
      </w:r>
      <w:r w:rsidRPr="002C4152">
        <w:rPr>
          <w:rStyle w:val="FootnoteReference"/>
          <w:rFonts w:ascii="Helvetica Light" w:hAnsi="Helvetica Light"/>
          <w:sz w:val="24"/>
          <w:szCs w:val="24"/>
        </w:rPr>
        <w:footnoteReference w:id="1"/>
      </w:r>
      <w:r w:rsidRPr="002C4152">
        <w:rPr>
          <w:rFonts w:ascii="Helvetica Light" w:hAnsi="Helvetica Light"/>
          <w:sz w:val="24"/>
          <w:szCs w:val="24"/>
        </w:rPr>
        <w:t xml:space="preserve"> </w:t>
      </w:r>
    </w:p>
    <w:p w14:paraId="4019BCC4" w14:textId="77777777" w:rsidR="002C4152" w:rsidRPr="002C4152" w:rsidRDefault="002C4152" w:rsidP="002C4152">
      <w:pPr>
        <w:spacing w:after="200" w:line="276" w:lineRule="auto"/>
        <w:jc w:val="both"/>
        <w:rPr>
          <w:rFonts w:ascii="Helvetica Light" w:hAnsi="Helvetica Light"/>
          <w:sz w:val="24"/>
          <w:szCs w:val="24"/>
        </w:rPr>
      </w:pPr>
      <w:r w:rsidRPr="002C4152">
        <w:rPr>
          <w:rFonts w:ascii="Helvetica Light" w:hAnsi="Helvetica Light"/>
          <w:sz w:val="24"/>
          <w:szCs w:val="24"/>
        </w:rPr>
        <w:t>In 2013, these groups sought to increase their territory, triggering a French-led military intervention. The French operation largely ended the MNLA’s occupation in the North and, in 2015, a peace deal was signed by the Malian government and two coalitions of armed groups.</w:t>
      </w:r>
      <w:r w:rsidRPr="002C4152">
        <w:rPr>
          <w:rStyle w:val="FootnoteReference"/>
          <w:rFonts w:ascii="Helvetica Light" w:hAnsi="Helvetica Light"/>
          <w:sz w:val="24"/>
          <w:szCs w:val="24"/>
        </w:rPr>
        <w:footnoteReference w:id="2"/>
      </w:r>
      <w:r w:rsidRPr="002C4152">
        <w:rPr>
          <w:rFonts w:ascii="Helvetica Light" w:hAnsi="Helvetica Light"/>
          <w:sz w:val="24"/>
          <w:szCs w:val="24"/>
        </w:rPr>
        <w:t xml:space="preserve"> </w:t>
      </w:r>
    </w:p>
    <w:p w14:paraId="366B8A83" w14:textId="77777777" w:rsidR="002C4152" w:rsidRPr="002C4152" w:rsidRDefault="002C4152" w:rsidP="002C4152">
      <w:pPr>
        <w:spacing w:after="200" w:line="276" w:lineRule="auto"/>
        <w:jc w:val="both"/>
        <w:rPr>
          <w:rFonts w:ascii="Helvetica Light" w:hAnsi="Helvetica Light"/>
          <w:sz w:val="24"/>
          <w:szCs w:val="24"/>
        </w:rPr>
      </w:pPr>
      <w:r w:rsidRPr="002C4152">
        <w:rPr>
          <w:rFonts w:ascii="Helvetica Light" w:hAnsi="Helvetica Light"/>
          <w:sz w:val="24"/>
          <w:szCs w:val="24"/>
        </w:rPr>
        <w:t>The uprising and violence in the North drew focus to that area of the country, which led to a diminished state presence in central Mali. Jihadists took advantage of this to secure safe havens and recruit locals who were frustrated with ongoing poverty, public sector corruption, inadequate security and the lack of investigations and justice for communal violence and criminality.</w:t>
      </w:r>
      <w:r w:rsidRPr="002C4152">
        <w:rPr>
          <w:rStyle w:val="FootnoteReference"/>
          <w:rFonts w:ascii="Helvetica Light" w:hAnsi="Helvetica Light"/>
          <w:sz w:val="24"/>
          <w:szCs w:val="24"/>
        </w:rPr>
        <w:footnoteReference w:id="3"/>
      </w:r>
    </w:p>
    <w:p w14:paraId="56AD9F3A" w14:textId="77777777" w:rsidR="002C4152" w:rsidRPr="002C4152" w:rsidRDefault="002C4152" w:rsidP="002C4152">
      <w:pPr>
        <w:spacing w:after="200" w:line="276" w:lineRule="auto"/>
        <w:jc w:val="both"/>
        <w:rPr>
          <w:rFonts w:ascii="Helvetica Light" w:hAnsi="Helvetica Light"/>
          <w:sz w:val="24"/>
          <w:szCs w:val="24"/>
        </w:rPr>
      </w:pPr>
      <w:r w:rsidRPr="002C4152">
        <w:rPr>
          <w:rFonts w:ascii="Helvetica Light" w:hAnsi="Helvetica Light"/>
          <w:sz w:val="24"/>
          <w:szCs w:val="24"/>
        </w:rPr>
        <w:t>Throughout 2015 and 2016 these jihadist groups progressively increased their presence in central Mali where they executed civilians and government officials and committed other abuses. Their presence, and recruitment of local residents, inflamed and exploited tensions among the Fulani, Bambara and Dogon ethnic groups.</w:t>
      </w:r>
      <w:r w:rsidRPr="002C4152">
        <w:rPr>
          <w:rFonts w:ascii="Helvetica Light" w:hAnsi="Helvetica Light"/>
          <w:sz w:val="24"/>
          <w:szCs w:val="24"/>
          <w:vertAlign w:val="superscript"/>
        </w:rPr>
        <w:footnoteReference w:id="4"/>
      </w:r>
      <w:r w:rsidRPr="002C4152">
        <w:rPr>
          <w:rFonts w:ascii="Helvetica Light" w:hAnsi="Helvetica Light"/>
          <w:sz w:val="24"/>
          <w:szCs w:val="24"/>
        </w:rPr>
        <w:t xml:space="preserve"> The </w:t>
      </w:r>
      <w:r w:rsidRPr="002C4152">
        <w:rPr>
          <w:rFonts w:ascii="Helvetica Light" w:hAnsi="Helvetica Light"/>
          <w:sz w:val="24"/>
          <w:szCs w:val="24"/>
        </w:rPr>
        <w:lastRenderedPageBreak/>
        <w:t>sedentary Bambara and pastoral Fulani communities have a history of disputes. However the growth of armed groups in the area has resulted in increased violence and casualties when these clashes occur.</w:t>
      </w:r>
    </w:p>
    <w:p w14:paraId="5DC25387" w14:textId="77777777" w:rsidR="002C4152" w:rsidRPr="002C4152" w:rsidRDefault="002C4152" w:rsidP="002C4152">
      <w:pPr>
        <w:spacing w:after="200" w:line="276" w:lineRule="auto"/>
        <w:jc w:val="both"/>
        <w:rPr>
          <w:rFonts w:ascii="Helvetica" w:hAnsi="Helvetica"/>
          <w:b/>
          <w:sz w:val="24"/>
          <w:szCs w:val="24"/>
        </w:rPr>
      </w:pPr>
      <w:r w:rsidRPr="002C4152">
        <w:rPr>
          <w:rFonts w:ascii="Helvetica" w:hAnsi="Helvetica"/>
          <w:b/>
          <w:sz w:val="24"/>
          <w:szCs w:val="24"/>
        </w:rPr>
        <w:t>February 2017 violence</w:t>
      </w:r>
    </w:p>
    <w:p w14:paraId="030B4B9F" w14:textId="77777777" w:rsidR="002C4152" w:rsidRPr="002C4152" w:rsidRDefault="002C4152" w:rsidP="002C4152">
      <w:pPr>
        <w:spacing w:after="200" w:line="276" w:lineRule="auto"/>
        <w:jc w:val="both"/>
        <w:rPr>
          <w:rFonts w:ascii="Helvetica Light" w:hAnsi="Helvetica Light"/>
          <w:sz w:val="24"/>
          <w:szCs w:val="24"/>
        </w:rPr>
      </w:pPr>
      <w:r w:rsidRPr="002C4152">
        <w:rPr>
          <w:rFonts w:ascii="Helvetica Light" w:hAnsi="Helvetica Light"/>
          <w:sz w:val="24"/>
          <w:szCs w:val="24"/>
        </w:rPr>
        <w:t xml:space="preserve">On 11 February 2017 near the town of </w:t>
      </w:r>
      <w:proofErr w:type="spellStart"/>
      <w:r w:rsidRPr="002C4152">
        <w:rPr>
          <w:rFonts w:ascii="Helvetica Light" w:hAnsi="Helvetica Light"/>
          <w:sz w:val="24"/>
          <w:szCs w:val="24"/>
        </w:rPr>
        <w:t>Ke-Macina</w:t>
      </w:r>
      <w:proofErr w:type="spellEnd"/>
      <w:r w:rsidRPr="002C4152">
        <w:rPr>
          <w:rFonts w:ascii="Helvetica Light" w:hAnsi="Helvetica Light"/>
          <w:sz w:val="24"/>
          <w:szCs w:val="24"/>
        </w:rPr>
        <w:t xml:space="preserve"> in the Ségou region, alleged Fulani Islamist fighters killed a Bambara shopkeeper known for his opposition to the growing radical influence in the area. This sparked retaliatory attacks on houses mostly inhabited by members of the Fulani ethnic group, killing at least 20 people.</w:t>
      </w:r>
    </w:p>
    <w:p w14:paraId="6360C39D" w14:textId="77777777" w:rsidR="002C4152" w:rsidRPr="002C4152" w:rsidRDefault="002C4152" w:rsidP="002C4152">
      <w:pPr>
        <w:spacing w:after="200" w:line="276" w:lineRule="auto"/>
        <w:jc w:val="both"/>
        <w:rPr>
          <w:rFonts w:ascii="Helvetica Light" w:hAnsi="Helvetica Light"/>
          <w:sz w:val="24"/>
          <w:szCs w:val="24"/>
        </w:rPr>
      </w:pPr>
      <w:r w:rsidRPr="002C4152">
        <w:rPr>
          <w:rFonts w:ascii="Helvetica Light" w:hAnsi="Helvetica Light"/>
          <w:sz w:val="24"/>
          <w:szCs w:val="24"/>
        </w:rPr>
        <w:t xml:space="preserve">On 19 February, in another attack allegedly in retaliation for the 11 February attack, unidentified men summarily executed nine civilians in </w:t>
      </w:r>
      <w:proofErr w:type="spellStart"/>
      <w:r w:rsidRPr="002C4152">
        <w:rPr>
          <w:rFonts w:ascii="Helvetica Light" w:hAnsi="Helvetica Light"/>
          <w:sz w:val="24"/>
          <w:szCs w:val="24"/>
        </w:rPr>
        <w:t>Niono</w:t>
      </w:r>
      <w:proofErr w:type="spellEnd"/>
      <w:r w:rsidRPr="002C4152">
        <w:rPr>
          <w:rFonts w:ascii="Helvetica Light" w:hAnsi="Helvetica Light"/>
          <w:sz w:val="24"/>
          <w:szCs w:val="24"/>
        </w:rPr>
        <w:t xml:space="preserve">, Ségou region. </w:t>
      </w:r>
    </w:p>
    <w:p w14:paraId="123D485D" w14:textId="77777777" w:rsidR="002C4152" w:rsidRPr="002C4152" w:rsidRDefault="002C4152" w:rsidP="002C4152">
      <w:pPr>
        <w:spacing w:after="200" w:line="276" w:lineRule="auto"/>
        <w:jc w:val="both"/>
        <w:rPr>
          <w:rFonts w:ascii="Helvetica Light" w:hAnsi="Helvetica Light"/>
          <w:sz w:val="24"/>
          <w:szCs w:val="24"/>
        </w:rPr>
      </w:pPr>
      <w:r w:rsidRPr="002C4152">
        <w:rPr>
          <w:rFonts w:ascii="Helvetica Light" w:hAnsi="Helvetica Light"/>
          <w:sz w:val="24"/>
          <w:szCs w:val="24"/>
        </w:rPr>
        <w:t>Both Fulani and Bambara witnesses reported that villagers were terrified as large groups of armed men had been seen driving around on motorcycles and vehicles in their villages in central Mali.</w:t>
      </w:r>
      <w:r w:rsidRPr="002C4152">
        <w:rPr>
          <w:rFonts w:ascii="Helvetica Light" w:hAnsi="Helvetica Light"/>
          <w:sz w:val="24"/>
          <w:szCs w:val="24"/>
          <w:vertAlign w:val="superscript"/>
        </w:rPr>
        <w:footnoteReference w:id="5"/>
      </w:r>
    </w:p>
    <w:p w14:paraId="540DD899" w14:textId="77777777" w:rsidR="002C4152" w:rsidRPr="002C4152" w:rsidRDefault="002C4152" w:rsidP="002C4152">
      <w:pPr>
        <w:spacing w:after="200" w:line="276" w:lineRule="auto"/>
        <w:jc w:val="both"/>
        <w:rPr>
          <w:rFonts w:ascii="Helvetica Light" w:hAnsi="Helvetica Light"/>
          <w:sz w:val="24"/>
          <w:szCs w:val="24"/>
          <w:u w:val="single"/>
        </w:rPr>
      </w:pPr>
      <w:r w:rsidRPr="002C4152">
        <w:rPr>
          <w:rFonts w:ascii="Helvetica Light" w:hAnsi="Helvetica Light"/>
          <w:sz w:val="24"/>
          <w:szCs w:val="24"/>
        </w:rPr>
        <w:t>Following that incident, at least 16 more people, including civilians and members of armed groups, were killed in an escalating series of tit-for-tat attacks. As a result of these incidents, at least 9,000 civilians in the Mopti and Ségou regions were displaced.</w:t>
      </w:r>
      <w:r w:rsidRPr="002C4152">
        <w:rPr>
          <w:rStyle w:val="FootnoteReference"/>
          <w:rFonts w:ascii="Helvetica Light" w:hAnsi="Helvetica Light"/>
          <w:sz w:val="24"/>
          <w:szCs w:val="24"/>
        </w:rPr>
        <w:footnoteReference w:id="6"/>
      </w:r>
      <w:r w:rsidRPr="002C4152">
        <w:rPr>
          <w:rFonts w:ascii="Helvetica Light" w:hAnsi="Helvetica Light"/>
          <w:sz w:val="24"/>
          <w:szCs w:val="24"/>
        </w:rPr>
        <w:t xml:space="preserve"> </w:t>
      </w:r>
    </w:p>
    <w:p w14:paraId="323B43FE" w14:textId="77777777" w:rsidR="002C4152" w:rsidRPr="002C4152" w:rsidRDefault="002C4152" w:rsidP="002C4152">
      <w:pPr>
        <w:spacing w:after="200" w:line="276" w:lineRule="auto"/>
        <w:jc w:val="both"/>
        <w:rPr>
          <w:rFonts w:ascii="Helvetica Light" w:hAnsi="Helvetica Light"/>
          <w:sz w:val="24"/>
          <w:szCs w:val="24"/>
        </w:rPr>
      </w:pPr>
    </w:p>
    <w:p w14:paraId="26AC3C05" w14:textId="77777777" w:rsidR="002C4152" w:rsidRPr="002C4152" w:rsidRDefault="002C4152" w:rsidP="002C4152">
      <w:pPr>
        <w:spacing w:after="200" w:line="276" w:lineRule="auto"/>
        <w:jc w:val="both"/>
        <w:rPr>
          <w:rFonts w:ascii="Helvetica Light" w:hAnsi="Helvetica Light"/>
          <w:sz w:val="24"/>
          <w:szCs w:val="24"/>
        </w:rPr>
      </w:pPr>
      <w:r w:rsidRPr="002C4152">
        <w:rPr>
          <w:rFonts w:ascii="Helvetica Light" w:hAnsi="Helvetica Light"/>
          <w:sz w:val="24"/>
          <w:szCs w:val="24"/>
        </w:rPr>
        <w:t xml:space="preserve"> </w:t>
      </w:r>
    </w:p>
    <w:p w14:paraId="38875000" w14:textId="77777777" w:rsidR="002C4152" w:rsidRPr="002C4152" w:rsidRDefault="002C4152" w:rsidP="002C4152">
      <w:pPr>
        <w:spacing w:after="200" w:line="276" w:lineRule="auto"/>
        <w:jc w:val="both"/>
        <w:rPr>
          <w:rFonts w:ascii="Helvetica Light" w:hAnsi="Helvetica Light"/>
          <w:sz w:val="24"/>
          <w:szCs w:val="24"/>
        </w:rPr>
      </w:pPr>
    </w:p>
    <w:p w14:paraId="09670F87" w14:textId="02C9CBE1" w:rsidR="00D96B77" w:rsidRPr="002C4152" w:rsidRDefault="00D96B77" w:rsidP="002C4152">
      <w:pPr>
        <w:spacing w:after="200" w:line="276" w:lineRule="auto"/>
        <w:jc w:val="both"/>
        <w:rPr>
          <w:rFonts w:ascii="Helvetica Light" w:hAnsi="Helvetica Light"/>
          <w:sz w:val="24"/>
          <w:szCs w:val="24"/>
        </w:rPr>
      </w:pPr>
    </w:p>
    <w:sectPr w:rsidR="00D96B77" w:rsidRPr="002C41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EB27A" w14:textId="77777777" w:rsidR="002C4152" w:rsidRDefault="002C4152" w:rsidP="002201CB">
      <w:pPr>
        <w:spacing w:after="0" w:line="240" w:lineRule="auto"/>
      </w:pPr>
      <w:r>
        <w:separator/>
      </w:r>
    </w:p>
  </w:endnote>
  <w:endnote w:type="continuationSeparator" w:id="0">
    <w:p w14:paraId="4B883C18" w14:textId="77777777" w:rsidR="002C4152" w:rsidRDefault="002C4152" w:rsidP="0022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Helvetica Light">
    <w:altName w:val="Malgun Gothic"/>
    <w:charset w:val="00"/>
    <w:family w:val="auto"/>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B856" w14:textId="19D77113" w:rsidR="002C4152" w:rsidRPr="002201CB" w:rsidRDefault="002C4152" w:rsidP="002201CB">
    <w:pPr>
      <w:pStyle w:val="Footer"/>
      <w:ind w:right="360"/>
      <w:rPr>
        <w:rFonts w:ascii="Helvetica Light" w:hAnsi="Helvetica Light"/>
        <w:color w:val="00B0F0"/>
        <w:sz w:val="24"/>
        <w:szCs w:val="24"/>
      </w:rPr>
    </w:pPr>
    <w:r w:rsidRPr="009D3FC1">
      <w:rPr>
        <w:rFonts w:ascii="Helvetica Light" w:hAnsi="Helvetica Light"/>
        <w:color w:val="00B0F0"/>
        <w:sz w:val="24"/>
        <w:szCs w:val="24"/>
      </w:rPr>
      <w:t>Global Centre for the Responsibility to Protect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92A6" w14:textId="77777777" w:rsidR="002C4152" w:rsidRDefault="002C4152" w:rsidP="002201CB">
      <w:pPr>
        <w:spacing w:after="0" w:line="240" w:lineRule="auto"/>
      </w:pPr>
      <w:r>
        <w:separator/>
      </w:r>
    </w:p>
  </w:footnote>
  <w:footnote w:type="continuationSeparator" w:id="0">
    <w:p w14:paraId="4B9D0B09" w14:textId="77777777" w:rsidR="002C4152" w:rsidRDefault="002C4152" w:rsidP="002201CB">
      <w:pPr>
        <w:spacing w:after="0" w:line="240" w:lineRule="auto"/>
      </w:pPr>
      <w:r>
        <w:continuationSeparator/>
      </w:r>
    </w:p>
  </w:footnote>
  <w:footnote w:id="1">
    <w:p w14:paraId="3A14F514" w14:textId="77777777" w:rsidR="002C4152" w:rsidRPr="002C4152" w:rsidRDefault="002C4152" w:rsidP="002C4152">
      <w:pPr>
        <w:pStyle w:val="FootnoteText"/>
        <w:rPr>
          <w:rFonts w:ascii="Helvetica Light" w:hAnsi="Helvetica Light"/>
        </w:rPr>
      </w:pPr>
      <w:r w:rsidRPr="002C4152">
        <w:rPr>
          <w:rStyle w:val="FootnoteReference"/>
          <w:rFonts w:ascii="Helvetica Light" w:hAnsi="Helvetica Light"/>
        </w:rPr>
        <w:footnoteRef/>
      </w:r>
      <w:r w:rsidRPr="002C4152">
        <w:rPr>
          <w:rFonts w:ascii="Helvetica Light" w:hAnsi="Helvetica Light"/>
        </w:rPr>
        <w:t xml:space="preserve"> HRW 2013 World Report </w:t>
      </w:r>
      <w:hyperlink r:id="rId1" w:history="1">
        <w:r w:rsidRPr="002C4152">
          <w:rPr>
            <w:rStyle w:val="Hyperlink"/>
            <w:rFonts w:ascii="Helvetica Light" w:hAnsi="Helvetica Light"/>
          </w:rPr>
          <w:t>https://www.hrw.org/world-report/2013/country-chapters/mali</w:t>
        </w:r>
      </w:hyperlink>
      <w:r w:rsidRPr="002C4152">
        <w:rPr>
          <w:rFonts w:ascii="Helvetica Light" w:hAnsi="Helvetica Light"/>
        </w:rPr>
        <w:t xml:space="preserve"> </w:t>
      </w:r>
    </w:p>
  </w:footnote>
  <w:footnote w:id="2">
    <w:p w14:paraId="510ADB61" w14:textId="77777777" w:rsidR="002C4152" w:rsidRPr="002C4152" w:rsidRDefault="002C4152" w:rsidP="002C4152">
      <w:pPr>
        <w:pStyle w:val="FootnoteText"/>
        <w:rPr>
          <w:rFonts w:ascii="Helvetica Light" w:hAnsi="Helvetica Light"/>
        </w:rPr>
      </w:pPr>
      <w:r w:rsidRPr="002C4152">
        <w:rPr>
          <w:rStyle w:val="FootnoteReference"/>
          <w:rFonts w:ascii="Helvetica Light" w:hAnsi="Helvetica Light"/>
        </w:rPr>
        <w:footnoteRef/>
      </w:r>
      <w:r w:rsidRPr="002C4152">
        <w:rPr>
          <w:rFonts w:ascii="Helvetica Light" w:hAnsi="Helvetica Light"/>
        </w:rPr>
        <w:t xml:space="preserve"> IRIN News, ‘Trouble in the Heart of Mali’ </w:t>
      </w:r>
      <w:hyperlink r:id="rId2" w:history="1">
        <w:r w:rsidRPr="002C4152">
          <w:rPr>
            <w:rStyle w:val="Hyperlink"/>
            <w:rFonts w:ascii="Helvetica Light" w:hAnsi="Helvetica Light"/>
          </w:rPr>
          <w:t>http://www.irinnews.org/analysis/2016/06/30/trouble-heart-mali</w:t>
        </w:r>
      </w:hyperlink>
      <w:r w:rsidRPr="002C4152">
        <w:rPr>
          <w:rFonts w:ascii="Helvetica Light" w:hAnsi="Helvetica Light"/>
        </w:rPr>
        <w:t xml:space="preserve"> </w:t>
      </w:r>
    </w:p>
  </w:footnote>
  <w:footnote w:id="3">
    <w:p w14:paraId="288EED49" w14:textId="77777777" w:rsidR="002C4152" w:rsidRPr="002C4152" w:rsidRDefault="002C4152" w:rsidP="002C4152">
      <w:pPr>
        <w:pStyle w:val="FootnoteText"/>
        <w:rPr>
          <w:rFonts w:ascii="Helvetica Light" w:hAnsi="Helvetica Light"/>
        </w:rPr>
      </w:pPr>
      <w:r w:rsidRPr="002C4152">
        <w:rPr>
          <w:rStyle w:val="FootnoteReference"/>
          <w:rFonts w:ascii="Helvetica Light" w:hAnsi="Helvetica Light"/>
        </w:rPr>
        <w:footnoteRef/>
      </w:r>
      <w:r w:rsidRPr="002C4152">
        <w:rPr>
          <w:rFonts w:ascii="Helvetica Light" w:hAnsi="Helvetica Light"/>
        </w:rPr>
        <w:t xml:space="preserve"> HRW, ‘Mali: Spate of Killings by Armed Groups’ </w:t>
      </w:r>
      <w:hyperlink r:id="rId3" w:history="1">
        <w:r w:rsidRPr="002C4152">
          <w:rPr>
            <w:rStyle w:val="Hyperlink"/>
            <w:rFonts w:ascii="Helvetica Light" w:hAnsi="Helvetica Light"/>
          </w:rPr>
          <w:t>https://www.hrw.org/news/2017/04/05/mali-spate-killings-armed-groups</w:t>
        </w:r>
      </w:hyperlink>
      <w:r w:rsidRPr="002C4152">
        <w:rPr>
          <w:rFonts w:ascii="Helvetica Light" w:hAnsi="Helvetica Light"/>
        </w:rPr>
        <w:t xml:space="preserve">; </w:t>
      </w:r>
      <w:hyperlink r:id="rId4" w:history="1">
        <w:r w:rsidRPr="002C4152">
          <w:rPr>
            <w:rStyle w:val="Hyperlink"/>
            <w:rFonts w:ascii="Helvetica Light" w:hAnsi="Helvetica Light"/>
          </w:rPr>
          <w:t>https://www.crisisgroup.org/africa/west-africa/mali</w:t>
        </w:r>
      </w:hyperlink>
      <w:r w:rsidRPr="002C4152">
        <w:rPr>
          <w:rFonts w:ascii="Helvetica Light" w:hAnsi="Helvetica Light"/>
        </w:rPr>
        <w:t xml:space="preserve"> </w:t>
      </w:r>
    </w:p>
  </w:footnote>
  <w:footnote w:id="4">
    <w:p w14:paraId="0E31C338" w14:textId="77777777" w:rsidR="002C4152" w:rsidRDefault="002C4152" w:rsidP="002C4152">
      <w:pPr>
        <w:pStyle w:val="FootnoteText"/>
      </w:pPr>
      <w:r w:rsidRPr="002C4152">
        <w:rPr>
          <w:rStyle w:val="FootnoteReference"/>
          <w:rFonts w:ascii="Helvetica Light" w:hAnsi="Helvetica Light"/>
        </w:rPr>
        <w:footnoteRef/>
      </w:r>
      <w:r w:rsidRPr="002C4152">
        <w:rPr>
          <w:rFonts w:ascii="Helvetica Light" w:hAnsi="Helvetica Light"/>
        </w:rPr>
        <w:t xml:space="preserve"> HRW, ‘Mali: Spate of Killings by Armed Groups’ </w:t>
      </w:r>
      <w:hyperlink r:id="rId5" w:history="1">
        <w:r w:rsidRPr="002C4152">
          <w:rPr>
            <w:rStyle w:val="Hyperlink"/>
            <w:rFonts w:ascii="Helvetica Light" w:hAnsi="Helvetica Light"/>
          </w:rPr>
          <w:t>https://www.hrw.org/news/2017/04/05/mali-spate-killings-armed-groups</w:t>
        </w:r>
      </w:hyperlink>
      <w:r>
        <w:t xml:space="preserve"> </w:t>
      </w:r>
    </w:p>
  </w:footnote>
  <w:footnote w:id="5">
    <w:p w14:paraId="261AE994" w14:textId="77777777" w:rsidR="002C4152" w:rsidRDefault="002C4152" w:rsidP="002C4152">
      <w:pPr>
        <w:pStyle w:val="FootnoteText"/>
      </w:pPr>
      <w:r>
        <w:rPr>
          <w:rStyle w:val="FootnoteReference"/>
        </w:rPr>
        <w:footnoteRef/>
      </w:r>
      <w:r>
        <w:t xml:space="preserve"> HRW, ‘Mali: Spate of Killings by Armed Groups’ </w:t>
      </w:r>
      <w:hyperlink r:id="rId6" w:history="1">
        <w:r w:rsidRPr="008F03E7">
          <w:rPr>
            <w:rStyle w:val="Hyperlink"/>
          </w:rPr>
          <w:t>https://www.hrw.org/news/2017/04/05/mali-spate-killings-armed-groups</w:t>
        </w:r>
      </w:hyperlink>
      <w:r>
        <w:t xml:space="preserve"> </w:t>
      </w:r>
    </w:p>
  </w:footnote>
  <w:footnote w:id="6">
    <w:p w14:paraId="717F8903" w14:textId="77777777" w:rsidR="002C4152" w:rsidRDefault="002C4152" w:rsidP="002C4152">
      <w:pPr>
        <w:pStyle w:val="FootnoteText"/>
      </w:pPr>
      <w:r>
        <w:rPr>
          <w:rStyle w:val="FootnoteReference"/>
        </w:rPr>
        <w:footnoteRef/>
      </w:r>
      <w:r>
        <w:t xml:space="preserve"> </w:t>
      </w:r>
      <w:hyperlink r:id="rId7" w:history="1">
        <w:r w:rsidRPr="002D54EA">
          <w:rPr>
            <w:rStyle w:val="Hyperlink"/>
          </w:rPr>
          <w:t>(SG Report March 2017)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F31A7"/>
    <w:multiLevelType w:val="hybridMultilevel"/>
    <w:tmpl w:val="950C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02597"/>
    <w:multiLevelType w:val="multilevel"/>
    <w:tmpl w:val="BCAE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8A"/>
    <w:rsid w:val="00021388"/>
    <w:rsid w:val="00034E3F"/>
    <w:rsid w:val="0005160F"/>
    <w:rsid w:val="00067A2C"/>
    <w:rsid w:val="000710A2"/>
    <w:rsid w:val="0007395D"/>
    <w:rsid w:val="00090EBC"/>
    <w:rsid w:val="000A32F2"/>
    <w:rsid w:val="000B78FB"/>
    <w:rsid w:val="000C3DB7"/>
    <w:rsid w:val="00126BCF"/>
    <w:rsid w:val="001407B3"/>
    <w:rsid w:val="00141D33"/>
    <w:rsid w:val="00157164"/>
    <w:rsid w:val="00181211"/>
    <w:rsid w:val="001B1E8E"/>
    <w:rsid w:val="001B2F6C"/>
    <w:rsid w:val="001F0C44"/>
    <w:rsid w:val="002201CB"/>
    <w:rsid w:val="002531BE"/>
    <w:rsid w:val="00262547"/>
    <w:rsid w:val="002B32CC"/>
    <w:rsid w:val="002C4152"/>
    <w:rsid w:val="002C48D3"/>
    <w:rsid w:val="00323327"/>
    <w:rsid w:val="00375586"/>
    <w:rsid w:val="003B7D7B"/>
    <w:rsid w:val="003D0486"/>
    <w:rsid w:val="003E59B3"/>
    <w:rsid w:val="00404544"/>
    <w:rsid w:val="00484573"/>
    <w:rsid w:val="004A5D64"/>
    <w:rsid w:val="004C7E7A"/>
    <w:rsid w:val="004E53FA"/>
    <w:rsid w:val="00512819"/>
    <w:rsid w:val="00513D58"/>
    <w:rsid w:val="00527479"/>
    <w:rsid w:val="005279B8"/>
    <w:rsid w:val="00573BA1"/>
    <w:rsid w:val="00583AB4"/>
    <w:rsid w:val="00583E53"/>
    <w:rsid w:val="005A6488"/>
    <w:rsid w:val="005D61B9"/>
    <w:rsid w:val="00616349"/>
    <w:rsid w:val="00620F57"/>
    <w:rsid w:val="00626D31"/>
    <w:rsid w:val="00642137"/>
    <w:rsid w:val="00660295"/>
    <w:rsid w:val="006A4495"/>
    <w:rsid w:val="006C6F48"/>
    <w:rsid w:val="006F3C8E"/>
    <w:rsid w:val="0070229C"/>
    <w:rsid w:val="007804AA"/>
    <w:rsid w:val="007E12FD"/>
    <w:rsid w:val="007F1486"/>
    <w:rsid w:val="007F6BA6"/>
    <w:rsid w:val="00827517"/>
    <w:rsid w:val="008513B6"/>
    <w:rsid w:val="00854098"/>
    <w:rsid w:val="00872B80"/>
    <w:rsid w:val="00884246"/>
    <w:rsid w:val="008E7064"/>
    <w:rsid w:val="009265F8"/>
    <w:rsid w:val="00940B36"/>
    <w:rsid w:val="00974A79"/>
    <w:rsid w:val="00993438"/>
    <w:rsid w:val="009945C5"/>
    <w:rsid w:val="009957B2"/>
    <w:rsid w:val="009B2F5C"/>
    <w:rsid w:val="009F2012"/>
    <w:rsid w:val="00A11F87"/>
    <w:rsid w:val="00A15F52"/>
    <w:rsid w:val="00A56081"/>
    <w:rsid w:val="00AA0A96"/>
    <w:rsid w:val="00AA25ED"/>
    <w:rsid w:val="00AC22A2"/>
    <w:rsid w:val="00B3178D"/>
    <w:rsid w:val="00B413E0"/>
    <w:rsid w:val="00B57DA1"/>
    <w:rsid w:val="00B652B3"/>
    <w:rsid w:val="00B82A70"/>
    <w:rsid w:val="00BC1F72"/>
    <w:rsid w:val="00BE6A22"/>
    <w:rsid w:val="00C20A17"/>
    <w:rsid w:val="00C747EA"/>
    <w:rsid w:val="00C7654C"/>
    <w:rsid w:val="00CA1FD5"/>
    <w:rsid w:val="00D200AB"/>
    <w:rsid w:val="00D63C8A"/>
    <w:rsid w:val="00D836D4"/>
    <w:rsid w:val="00D96B77"/>
    <w:rsid w:val="00DA702E"/>
    <w:rsid w:val="00DE49C9"/>
    <w:rsid w:val="00DF3D7C"/>
    <w:rsid w:val="00DF5F05"/>
    <w:rsid w:val="00E423CA"/>
    <w:rsid w:val="00E82786"/>
    <w:rsid w:val="00EA5460"/>
    <w:rsid w:val="00EF37D1"/>
    <w:rsid w:val="00EF4726"/>
    <w:rsid w:val="00EF6DE1"/>
    <w:rsid w:val="00F20A9A"/>
    <w:rsid w:val="00F56F9C"/>
    <w:rsid w:val="00F57A15"/>
    <w:rsid w:val="00F85037"/>
    <w:rsid w:val="00FB4EAE"/>
    <w:rsid w:val="00FC3874"/>
    <w:rsid w:val="00FD4E8E"/>
    <w:rsid w:val="00FE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46E2F"/>
  <w15:docId w15:val="{EF703003-EA81-4AEB-A320-4877D75C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3FA"/>
    <w:pPr>
      <w:ind w:left="720"/>
      <w:contextualSpacing/>
    </w:pPr>
  </w:style>
  <w:style w:type="paragraph" w:styleId="NormalWeb">
    <w:name w:val="Normal (Web)"/>
    <w:basedOn w:val="Normal"/>
    <w:uiPriority w:val="99"/>
    <w:unhideWhenUsed/>
    <w:rsid w:val="007F6B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C8E"/>
    <w:rPr>
      <w:color w:val="0000FF"/>
      <w:u w:val="single"/>
    </w:rPr>
  </w:style>
  <w:style w:type="paragraph" w:styleId="BalloonText">
    <w:name w:val="Balloon Text"/>
    <w:basedOn w:val="Normal"/>
    <w:link w:val="BalloonTextChar"/>
    <w:uiPriority w:val="99"/>
    <w:semiHidden/>
    <w:unhideWhenUsed/>
    <w:rsid w:val="002201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1CB"/>
    <w:rPr>
      <w:rFonts w:ascii="Lucida Grande" w:hAnsi="Lucida Grande" w:cs="Lucida Grande"/>
      <w:sz w:val="18"/>
      <w:szCs w:val="18"/>
    </w:rPr>
  </w:style>
  <w:style w:type="paragraph" w:styleId="Header">
    <w:name w:val="header"/>
    <w:basedOn w:val="Normal"/>
    <w:link w:val="HeaderChar"/>
    <w:uiPriority w:val="99"/>
    <w:unhideWhenUsed/>
    <w:rsid w:val="002201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01CB"/>
  </w:style>
  <w:style w:type="paragraph" w:styleId="Footer">
    <w:name w:val="footer"/>
    <w:basedOn w:val="Normal"/>
    <w:link w:val="FooterChar"/>
    <w:uiPriority w:val="99"/>
    <w:unhideWhenUsed/>
    <w:rsid w:val="002201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01CB"/>
  </w:style>
  <w:style w:type="paragraph" w:styleId="FootnoteText">
    <w:name w:val="footnote text"/>
    <w:basedOn w:val="Normal"/>
    <w:link w:val="FootnoteTextChar"/>
    <w:uiPriority w:val="99"/>
    <w:semiHidden/>
    <w:unhideWhenUsed/>
    <w:rsid w:val="006C6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F48"/>
    <w:rPr>
      <w:sz w:val="20"/>
      <w:szCs w:val="20"/>
    </w:rPr>
  </w:style>
  <w:style w:type="character" w:styleId="FootnoteReference">
    <w:name w:val="footnote reference"/>
    <w:basedOn w:val="DefaultParagraphFont"/>
    <w:uiPriority w:val="99"/>
    <w:semiHidden/>
    <w:unhideWhenUsed/>
    <w:rsid w:val="006C6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0095">
      <w:bodyDiv w:val="1"/>
      <w:marLeft w:val="0"/>
      <w:marRight w:val="0"/>
      <w:marTop w:val="0"/>
      <w:marBottom w:val="0"/>
      <w:divBdr>
        <w:top w:val="none" w:sz="0" w:space="0" w:color="auto"/>
        <w:left w:val="none" w:sz="0" w:space="0" w:color="auto"/>
        <w:bottom w:val="none" w:sz="0" w:space="0" w:color="auto"/>
        <w:right w:val="none" w:sz="0" w:space="0" w:color="auto"/>
      </w:divBdr>
    </w:div>
    <w:div w:id="67075479">
      <w:bodyDiv w:val="1"/>
      <w:marLeft w:val="0"/>
      <w:marRight w:val="0"/>
      <w:marTop w:val="0"/>
      <w:marBottom w:val="0"/>
      <w:divBdr>
        <w:top w:val="none" w:sz="0" w:space="0" w:color="auto"/>
        <w:left w:val="none" w:sz="0" w:space="0" w:color="auto"/>
        <w:bottom w:val="none" w:sz="0" w:space="0" w:color="auto"/>
        <w:right w:val="none" w:sz="0" w:space="0" w:color="auto"/>
      </w:divBdr>
    </w:div>
    <w:div w:id="98911462">
      <w:bodyDiv w:val="1"/>
      <w:marLeft w:val="0"/>
      <w:marRight w:val="0"/>
      <w:marTop w:val="0"/>
      <w:marBottom w:val="0"/>
      <w:divBdr>
        <w:top w:val="none" w:sz="0" w:space="0" w:color="auto"/>
        <w:left w:val="none" w:sz="0" w:space="0" w:color="auto"/>
        <w:bottom w:val="none" w:sz="0" w:space="0" w:color="auto"/>
        <w:right w:val="none" w:sz="0" w:space="0" w:color="auto"/>
      </w:divBdr>
      <w:divsChild>
        <w:div w:id="75595665">
          <w:marLeft w:val="0"/>
          <w:marRight w:val="0"/>
          <w:marTop w:val="0"/>
          <w:marBottom w:val="0"/>
          <w:divBdr>
            <w:top w:val="none" w:sz="0" w:space="0" w:color="auto"/>
            <w:left w:val="none" w:sz="0" w:space="0" w:color="auto"/>
            <w:bottom w:val="none" w:sz="0" w:space="0" w:color="auto"/>
            <w:right w:val="none" w:sz="0" w:space="0" w:color="auto"/>
          </w:divBdr>
          <w:divsChild>
            <w:div w:id="1134835863">
              <w:marLeft w:val="0"/>
              <w:marRight w:val="0"/>
              <w:marTop w:val="0"/>
              <w:marBottom w:val="0"/>
              <w:divBdr>
                <w:top w:val="none" w:sz="0" w:space="0" w:color="auto"/>
                <w:left w:val="none" w:sz="0" w:space="0" w:color="auto"/>
                <w:bottom w:val="none" w:sz="0" w:space="0" w:color="auto"/>
                <w:right w:val="none" w:sz="0" w:space="0" w:color="auto"/>
              </w:divBdr>
              <w:divsChild>
                <w:div w:id="7040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5897">
      <w:bodyDiv w:val="1"/>
      <w:marLeft w:val="0"/>
      <w:marRight w:val="0"/>
      <w:marTop w:val="0"/>
      <w:marBottom w:val="0"/>
      <w:divBdr>
        <w:top w:val="none" w:sz="0" w:space="0" w:color="auto"/>
        <w:left w:val="none" w:sz="0" w:space="0" w:color="auto"/>
        <w:bottom w:val="none" w:sz="0" w:space="0" w:color="auto"/>
        <w:right w:val="none" w:sz="0" w:space="0" w:color="auto"/>
      </w:divBdr>
    </w:div>
    <w:div w:id="286861499">
      <w:bodyDiv w:val="1"/>
      <w:marLeft w:val="0"/>
      <w:marRight w:val="0"/>
      <w:marTop w:val="0"/>
      <w:marBottom w:val="0"/>
      <w:divBdr>
        <w:top w:val="none" w:sz="0" w:space="0" w:color="auto"/>
        <w:left w:val="none" w:sz="0" w:space="0" w:color="auto"/>
        <w:bottom w:val="none" w:sz="0" w:space="0" w:color="auto"/>
        <w:right w:val="none" w:sz="0" w:space="0" w:color="auto"/>
      </w:divBdr>
    </w:div>
    <w:div w:id="380520540">
      <w:bodyDiv w:val="1"/>
      <w:marLeft w:val="0"/>
      <w:marRight w:val="0"/>
      <w:marTop w:val="0"/>
      <w:marBottom w:val="0"/>
      <w:divBdr>
        <w:top w:val="none" w:sz="0" w:space="0" w:color="auto"/>
        <w:left w:val="none" w:sz="0" w:space="0" w:color="auto"/>
        <w:bottom w:val="none" w:sz="0" w:space="0" w:color="auto"/>
        <w:right w:val="none" w:sz="0" w:space="0" w:color="auto"/>
      </w:divBdr>
    </w:div>
    <w:div w:id="406340566">
      <w:bodyDiv w:val="1"/>
      <w:marLeft w:val="0"/>
      <w:marRight w:val="0"/>
      <w:marTop w:val="0"/>
      <w:marBottom w:val="0"/>
      <w:divBdr>
        <w:top w:val="none" w:sz="0" w:space="0" w:color="auto"/>
        <w:left w:val="none" w:sz="0" w:space="0" w:color="auto"/>
        <w:bottom w:val="none" w:sz="0" w:space="0" w:color="auto"/>
        <w:right w:val="none" w:sz="0" w:space="0" w:color="auto"/>
      </w:divBdr>
    </w:div>
    <w:div w:id="569586054">
      <w:bodyDiv w:val="1"/>
      <w:marLeft w:val="0"/>
      <w:marRight w:val="0"/>
      <w:marTop w:val="0"/>
      <w:marBottom w:val="0"/>
      <w:divBdr>
        <w:top w:val="none" w:sz="0" w:space="0" w:color="auto"/>
        <w:left w:val="none" w:sz="0" w:space="0" w:color="auto"/>
        <w:bottom w:val="none" w:sz="0" w:space="0" w:color="auto"/>
        <w:right w:val="none" w:sz="0" w:space="0" w:color="auto"/>
      </w:divBdr>
    </w:div>
    <w:div w:id="871310513">
      <w:bodyDiv w:val="1"/>
      <w:marLeft w:val="0"/>
      <w:marRight w:val="0"/>
      <w:marTop w:val="0"/>
      <w:marBottom w:val="0"/>
      <w:divBdr>
        <w:top w:val="none" w:sz="0" w:space="0" w:color="auto"/>
        <w:left w:val="none" w:sz="0" w:space="0" w:color="auto"/>
        <w:bottom w:val="none" w:sz="0" w:space="0" w:color="auto"/>
        <w:right w:val="none" w:sz="0" w:space="0" w:color="auto"/>
      </w:divBdr>
    </w:div>
    <w:div w:id="947781703">
      <w:bodyDiv w:val="1"/>
      <w:marLeft w:val="0"/>
      <w:marRight w:val="0"/>
      <w:marTop w:val="0"/>
      <w:marBottom w:val="0"/>
      <w:divBdr>
        <w:top w:val="none" w:sz="0" w:space="0" w:color="auto"/>
        <w:left w:val="none" w:sz="0" w:space="0" w:color="auto"/>
        <w:bottom w:val="none" w:sz="0" w:space="0" w:color="auto"/>
        <w:right w:val="none" w:sz="0" w:space="0" w:color="auto"/>
      </w:divBdr>
    </w:div>
    <w:div w:id="996148787">
      <w:bodyDiv w:val="1"/>
      <w:marLeft w:val="0"/>
      <w:marRight w:val="0"/>
      <w:marTop w:val="0"/>
      <w:marBottom w:val="0"/>
      <w:divBdr>
        <w:top w:val="none" w:sz="0" w:space="0" w:color="auto"/>
        <w:left w:val="none" w:sz="0" w:space="0" w:color="auto"/>
        <w:bottom w:val="none" w:sz="0" w:space="0" w:color="auto"/>
        <w:right w:val="none" w:sz="0" w:space="0" w:color="auto"/>
      </w:divBdr>
    </w:div>
    <w:div w:id="1202522967">
      <w:bodyDiv w:val="1"/>
      <w:marLeft w:val="0"/>
      <w:marRight w:val="0"/>
      <w:marTop w:val="0"/>
      <w:marBottom w:val="0"/>
      <w:divBdr>
        <w:top w:val="none" w:sz="0" w:space="0" w:color="auto"/>
        <w:left w:val="none" w:sz="0" w:space="0" w:color="auto"/>
        <w:bottom w:val="none" w:sz="0" w:space="0" w:color="auto"/>
        <w:right w:val="none" w:sz="0" w:space="0" w:color="auto"/>
      </w:divBdr>
    </w:div>
    <w:div w:id="1286155857">
      <w:bodyDiv w:val="1"/>
      <w:marLeft w:val="0"/>
      <w:marRight w:val="0"/>
      <w:marTop w:val="0"/>
      <w:marBottom w:val="0"/>
      <w:divBdr>
        <w:top w:val="none" w:sz="0" w:space="0" w:color="auto"/>
        <w:left w:val="none" w:sz="0" w:space="0" w:color="auto"/>
        <w:bottom w:val="none" w:sz="0" w:space="0" w:color="auto"/>
        <w:right w:val="none" w:sz="0" w:space="0" w:color="auto"/>
      </w:divBdr>
    </w:div>
    <w:div w:id="1306622569">
      <w:bodyDiv w:val="1"/>
      <w:marLeft w:val="0"/>
      <w:marRight w:val="0"/>
      <w:marTop w:val="0"/>
      <w:marBottom w:val="0"/>
      <w:divBdr>
        <w:top w:val="none" w:sz="0" w:space="0" w:color="auto"/>
        <w:left w:val="none" w:sz="0" w:space="0" w:color="auto"/>
        <w:bottom w:val="none" w:sz="0" w:space="0" w:color="auto"/>
        <w:right w:val="none" w:sz="0" w:space="0" w:color="auto"/>
      </w:divBdr>
      <w:divsChild>
        <w:div w:id="2001540503">
          <w:marLeft w:val="0"/>
          <w:marRight w:val="0"/>
          <w:marTop w:val="0"/>
          <w:marBottom w:val="0"/>
          <w:divBdr>
            <w:top w:val="none" w:sz="0" w:space="0" w:color="auto"/>
            <w:left w:val="none" w:sz="0" w:space="0" w:color="auto"/>
            <w:bottom w:val="none" w:sz="0" w:space="0" w:color="auto"/>
            <w:right w:val="none" w:sz="0" w:space="0" w:color="auto"/>
          </w:divBdr>
          <w:divsChild>
            <w:div w:id="805506946">
              <w:marLeft w:val="0"/>
              <w:marRight w:val="0"/>
              <w:marTop w:val="0"/>
              <w:marBottom w:val="0"/>
              <w:divBdr>
                <w:top w:val="none" w:sz="0" w:space="0" w:color="auto"/>
                <w:left w:val="none" w:sz="0" w:space="0" w:color="auto"/>
                <w:bottom w:val="none" w:sz="0" w:space="0" w:color="auto"/>
                <w:right w:val="none" w:sz="0" w:space="0" w:color="auto"/>
              </w:divBdr>
              <w:divsChild>
                <w:div w:id="11584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8609">
      <w:bodyDiv w:val="1"/>
      <w:marLeft w:val="0"/>
      <w:marRight w:val="0"/>
      <w:marTop w:val="0"/>
      <w:marBottom w:val="0"/>
      <w:divBdr>
        <w:top w:val="none" w:sz="0" w:space="0" w:color="auto"/>
        <w:left w:val="none" w:sz="0" w:space="0" w:color="auto"/>
        <w:bottom w:val="none" w:sz="0" w:space="0" w:color="auto"/>
        <w:right w:val="none" w:sz="0" w:space="0" w:color="auto"/>
      </w:divBdr>
    </w:div>
    <w:div w:id="1415735321">
      <w:bodyDiv w:val="1"/>
      <w:marLeft w:val="0"/>
      <w:marRight w:val="0"/>
      <w:marTop w:val="0"/>
      <w:marBottom w:val="0"/>
      <w:divBdr>
        <w:top w:val="none" w:sz="0" w:space="0" w:color="auto"/>
        <w:left w:val="none" w:sz="0" w:space="0" w:color="auto"/>
        <w:bottom w:val="none" w:sz="0" w:space="0" w:color="auto"/>
        <w:right w:val="none" w:sz="0" w:space="0" w:color="auto"/>
      </w:divBdr>
      <w:divsChild>
        <w:div w:id="1581527482">
          <w:marLeft w:val="0"/>
          <w:marRight w:val="0"/>
          <w:marTop w:val="0"/>
          <w:marBottom w:val="0"/>
          <w:divBdr>
            <w:top w:val="none" w:sz="0" w:space="0" w:color="auto"/>
            <w:left w:val="none" w:sz="0" w:space="0" w:color="auto"/>
            <w:bottom w:val="none" w:sz="0" w:space="0" w:color="auto"/>
            <w:right w:val="none" w:sz="0" w:space="0" w:color="auto"/>
          </w:divBdr>
          <w:divsChild>
            <w:div w:id="1702170557">
              <w:marLeft w:val="0"/>
              <w:marRight w:val="0"/>
              <w:marTop w:val="0"/>
              <w:marBottom w:val="0"/>
              <w:divBdr>
                <w:top w:val="none" w:sz="0" w:space="0" w:color="auto"/>
                <w:left w:val="none" w:sz="0" w:space="0" w:color="auto"/>
                <w:bottom w:val="none" w:sz="0" w:space="0" w:color="auto"/>
                <w:right w:val="none" w:sz="0" w:space="0" w:color="auto"/>
              </w:divBdr>
              <w:divsChild>
                <w:div w:id="1773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944">
      <w:bodyDiv w:val="1"/>
      <w:marLeft w:val="0"/>
      <w:marRight w:val="0"/>
      <w:marTop w:val="0"/>
      <w:marBottom w:val="0"/>
      <w:divBdr>
        <w:top w:val="none" w:sz="0" w:space="0" w:color="auto"/>
        <w:left w:val="none" w:sz="0" w:space="0" w:color="auto"/>
        <w:bottom w:val="none" w:sz="0" w:space="0" w:color="auto"/>
        <w:right w:val="none" w:sz="0" w:space="0" w:color="auto"/>
      </w:divBdr>
      <w:divsChild>
        <w:div w:id="2114862964">
          <w:marLeft w:val="0"/>
          <w:marRight w:val="0"/>
          <w:marTop w:val="0"/>
          <w:marBottom w:val="0"/>
          <w:divBdr>
            <w:top w:val="none" w:sz="0" w:space="0" w:color="auto"/>
            <w:left w:val="none" w:sz="0" w:space="0" w:color="auto"/>
            <w:bottom w:val="none" w:sz="0" w:space="0" w:color="auto"/>
            <w:right w:val="none" w:sz="0" w:space="0" w:color="auto"/>
          </w:divBdr>
          <w:divsChild>
            <w:div w:id="1707483268">
              <w:marLeft w:val="0"/>
              <w:marRight w:val="0"/>
              <w:marTop w:val="0"/>
              <w:marBottom w:val="0"/>
              <w:divBdr>
                <w:top w:val="none" w:sz="0" w:space="0" w:color="auto"/>
                <w:left w:val="none" w:sz="0" w:space="0" w:color="auto"/>
                <w:bottom w:val="none" w:sz="0" w:space="0" w:color="auto"/>
                <w:right w:val="none" w:sz="0" w:space="0" w:color="auto"/>
              </w:divBdr>
              <w:divsChild>
                <w:div w:id="1728724639">
                  <w:marLeft w:val="0"/>
                  <w:marRight w:val="0"/>
                  <w:marTop w:val="0"/>
                  <w:marBottom w:val="0"/>
                  <w:divBdr>
                    <w:top w:val="none" w:sz="0" w:space="0" w:color="auto"/>
                    <w:left w:val="none" w:sz="0" w:space="0" w:color="auto"/>
                    <w:bottom w:val="none" w:sz="0" w:space="0" w:color="auto"/>
                    <w:right w:val="none" w:sz="0" w:space="0" w:color="auto"/>
                  </w:divBdr>
                  <w:divsChild>
                    <w:div w:id="17908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rw.org/news/2017/04/05/mali-spate-killings-armed-groups" TargetMode="External"/><Relationship Id="rId7" Type="http://schemas.openxmlformats.org/officeDocument/2006/relationships/hyperlink" Target="http://www.un.org/ga/search/view_doc.asp?symbol=S/2017/271" TargetMode="External"/><Relationship Id="rId2" Type="http://schemas.openxmlformats.org/officeDocument/2006/relationships/hyperlink" Target="http://www.irinnews.org/analysis/2016/06/30/trouble-heart-mali" TargetMode="External"/><Relationship Id="rId1" Type="http://schemas.openxmlformats.org/officeDocument/2006/relationships/hyperlink" Target="https://www.hrw.org/world-report/2013/country-chapters/mali" TargetMode="External"/><Relationship Id="rId6" Type="http://schemas.openxmlformats.org/officeDocument/2006/relationships/hyperlink" Target="https://www.hrw.org/news/2017/04/05/mali-spate-killings-armed-groups" TargetMode="External"/><Relationship Id="rId5" Type="http://schemas.openxmlformats.org/officeDocument/2006/relationships/hyperlink" Target="https://www.hrw.org/news/2017/04/05/mali-spate-killings-armed-groups" TargetMode="External"/><Relationship Id="rId4" Type="http://schemas.openxmlformats.org/officeDocument/2006/relationships/hyperlink" Target="https://www.crisisgroup.org/africa/west-africa/m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CUNY Graduate Center</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Denolle, Flavie</dc:creator>
  <cp:keywords/>
  <dc:description/>
  <cp:lastModifiedBy>Paauwe, Juliette</cp:lastModifiedBy>
  <cp:revision>2</cp:revision>
  <dcterms:created xsi:type="dcterms:W3CDTF">2018-03-01T22:22:00Z</dcterms:created>
  <dcterms:modified xsi:type="dcterms:W3CDTF">2018-03-01T22:22:00Z</dcterms:modified>
</cp:coreProperties>
</file>